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hint="eastAsia" w:ascii="黑体" w:hAnsi="宋体" w:eastAsia="宋体"/>
          <w:b/>
          <w:bCs/>
          <w:color w:val="000000"/>
          <w:sz w:val="32"/>
          <w:szCs w:val="32"/>
          <w:lang w:val="en-US" w:eastAsia="zh-CN"/>
        </w:rPr>
      </w:pPr>
      <w:r>
        <w:rPr>
          <w:rFonts w:hint="eastAsia"/>
          <w:b/>
          <w:bCs/>
          <w:sz w:val="32"/>
          <w:szCs w:val="32"/>
          <w:lang w:val="en-US" w:eastAsia="zh-CN"/>
        </w:rPr>
        <w:t>泡沫陶瓷过滤板采购技术规格书</w:t>
      </w:r>
    </w:p>
    <w:p>
      <w:pPr>
        <w:spacing w:before="156" w:beforeLines="50" w:after="156" w:afterLines="50"/>
        <w:rPr>
          <w:rFonts w:hint="eastAsia" w:ascii="黑体" w:hAnsi="宋体" w:eastAsia="黑体"/>
          <w:b/>
          <w:bCs/>
          <w:color w:val="000000"/>
          <w:sz w:val="24"/>
          <w:szCs w:val="24"/>
          <w:lang w:val="en-US" w:eastAsia="zh-CN"/>
        </w:rPr>
      </w:pPr>
      <w:r>
        <w:rPr>
          <w:rFonts w:hint="eastAsia" w:ascii="黑体" w:hAnsi="宋体" w:eastAsia="黑体"/>
          <w:b/>
          <w:bCs/>
          <w:color w:val="000000"/>
          <w:sz w:val="24"/>
          <w:szCs w:val="24"/>
          <w:lang w:val="en-US" w:eastAsia="zh-CN"/>
        </w:rPr>
        <w:t>1 概述</w:t>
      </w:r>
    </w:p>
    <w:p>
      <w:pPr>
        <w:keepNext w:val="0"/>
        <w:keepLines w:val="0"/>
        <w:pageBreakBefore w:val="0"/>
        <w:widowControl w:val="0"/>
        <w:numPr>
          <w:ilvl w:val="0"/>
          <w:numId w:val="0"/>
        </w:numPr>
        <w:tabs>
          <w:tab w:val="left" w:pos="5685"/>
        </w:tabs>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bCs w:val="0"/>
          <w:sz w:val="24"/>
          <w:szCs w:val="24"/>
          <w:lang w:val="en-US" w:eastAsia="zh-CN"/>
        </w:rPr>
      </w:pPr>
      <w:r>
        <w:rPr>
          <w:rFonts w:hint="eastAsia" w:asciiTheme="minorEastAsia" w:hAnsiTheme="minorEastAsia" w:eastAsiaTheme="minorEastAsia" w:cstheme="minorEastAsia"/>
          <w:b/>
          <w:bCs w:val="0"/>
          <w:sz w:val="24"/>
          <w:szCs w:val="24"/>
          <w:lang w:val="en-US" w:eastAsia="zh-CN"/>
        </w:rPr>
        <w:t>1.1 甲方：甘肃</w:t>
      </w:r>
      <w:r>
        <w:rPr>
          <w:rFonts w:hint="default" w:asciiTheme="minorEastAsia" w:hAnsiTheme="minorEastAsia" w:eastAsiaTheme="minorEastAsia" w:cstheme="minorEastAsia"/>
          <w:b/>
          <w:bCs w:val="0"/>
          <w:sz w:val="24"/>
          <w:szCs w:val="24"/>
          <w:lang w:eastAsia="zh-CN"/>
        </w:rPr>
        <w:t>东兴嘉宇新材料</w:t>
      </w:r>
      <w:r>
        <w:rPr>
          <w:rFonts w:hint="eastAsia" w:asciiTheme="minorEastAsia" w:hAnsiTheme="minorEastAsia" w:eastAsiaTheme="minorEastAsia" w:cstheme="minorEastAsia"/>
          <w:b/>
          <w:bCs w:val="0"/>
          <w:sz w:val="24"/>
          <w:szCs w:val="24"/>
          <w:lang w:val="en-US" w:eastAsia="zh-CN"/>
        </w:rPr>
        <w:t>有限公司</w:t>
      </w:r>
    </w:p>
    <w:p>
      <w:pPr>
        <w:keepNext w:val="0"/>
        <w:keepLines w:val="0"/>
        <w:pageBreakBefore w:val="0"/>
        <w:widowControl w:val="0"/>
        <w:numPr>
          <w:ilvl w:val="0"/>
          <w:numId w:val="0"/>
        </w:numPr>
        <w:tabs>
          <w:tab w:val="left" w:pos="5685"/>
        </w:tabs>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b/>
          <w:bCs w:val="0"/>
          <w:sz w:val="24"/>
          <w:szCs w:val="24"/>
          <w:u w:val="none"/>
          <w:lang w:val="en-US" w:eastAsia="zh-CN"/>
        </w:rPr>
      </w:pPr>
      <w:r>
        <w:rPr>
          <w:rFonts w:hint="eastAsia" w:asciiTheme="minorEastAsia" w:hAnsiTheme="minorEastAsia" w:eastAsiaTheme="minorEastAsia" w:cstheme="minorEastAsia"/>
          <w:b/>
          <w:bCs w:val="0"/>
          <w:sz w:val="24"/>
          <w:szCs w:val="24"/>
          <w:lang w:val="en-US" w:eastAsia="zh-CN"/>
        </w:rPr>
        <w:t>乙方：</w:t>
      </w:r>
    </w:p>
    <w:p>
      <w:pPr>
        <w:keepNext w:val="0"/>
        <w:keepLines w:val="0"/>
        <w:pageBreakBefore w:val="0"/>
        <w:widowControl w:val="0"/>
        <w:tabs>
          <w:tab w:val="left" w:pos="5685"/>
        </w:tabs>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b w:val="0"/>
          <w:bCs/>
          <w:color w:val="000000"/>
          <w:kern w:val="0"/>
          <w:sz w:val="24"/>
          <w:szCs w:val="24"/>
          <w:lang w:val="zh-CN"/>
        </w:rPr>
      </w:pPr>
      <w:r>
        <w:rPr>
          <w:rFonts w:hint="eastAsia" w:asciiTheme="minorEastAsia" w:hAnsiTheme="minorEastAsia" w:eastAsiaTheme="minorEastAsia" w:cstheme="minorEastAsia"/>
          <w:b w:val="0"/>
          <w:bCs/>
          <w:color w:val="000000"/>
          <w:kern w:val="0"/>
          <w:sz w:val="24"/>
          <w:szCs w:val="24"/>
          <w:lang w:val="en-US" w:eastAsia="zh-CN"/>
        </w:rPr>
        <w:t>甲乙双方就采购的泡沫陶瓷过滤板</w:t>
      </w:r>
      <w:r>
        <w:rPr>
          <w:rFonts w:hint="eastAsia" w:asciiTheme="minorEastAsia" w:hAnsiTheme="minorEastAsia" w:eastAsiaTheme="minorEastAsia" w:cstheme="minorEastAsia"/>
          <w:b w:val="0"/>
          <w:bCs/>
          <w:color w:val="000000"/>
          <w:kern w:val="0"/>
          <w:sz w:val="24"/>
          <w:szCs w:val="24"/>
          <w:lang w:val="zh-CN" w:eastAsia="zh-CN"/>
        </w:rPr>
        <w:t>事宜中有关物资的供货要求</w:t>
      </w:r>
      <w:r>
        <w:rPr>
          <w:rFonts w:hint="eastAsia" w:asciiTheme="minorEastAsia" w:hAnsiTheme="minorEastAsia" w:eastAsiaTheme="minorEastAsia" w:cstheme="minorEastAsia"/>
          <w:b w:val="0"/>
          <w:bCs/>
          <w:color w:val="000000"/>
          <w:kern w:val="0"/>
          <w:sz w:val="24"/>
          <w:szCs w:val="24"/>
          <w:lang w:val="en-US" w:eastAsia="zh-CN"/>
        </w:rPr>
        <w:t>、技术标准等要求进行了充分讨论，</w:t>
      </w:r>
      <w:r>
        <w:rPr>
          <w:rFonts w:hint="eastAsia" w:asciiTheme="minorEastAsia" w:hAnsiTheme="minorEastAsia" w:eastAsiaTheme="minorEastAsia" w:cstheme="minorEastAsia"/>
          <w:b w:val="0"/>
          <w:bCs/>
          <w:color w:val="000000"/>
          <w:kern w:val="0"/>
          <w:sz w:val="24"/>
          <w:szCs w:val="24"/>
          <w:lang w:val="zh-CN"/>
        </w:rPr>
        <w:t>经双方友好协商达成如下协议：</w:t>
      </w:r>
    </w:p>
    <w:p>
      <w:pPr>
        <w:keepNext w:val="0"/>
        <w:keepLines w:val="0"/>
        <w:pageBreakBefore w:val="0"/>
        <w:widowControl w:val="0"/>
        <w:tabs>
          <w:tab w:val="left" w:pos="5685"/>
        </w:tabs>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bCs w:val="0"/>
          <w:color w:val="000000"/>
          <w:kern w:val="0"/>
          <w:sz w:val="24"/>
          <w:szCs w:val="24"/>
          <w:lang w:val="en-US" w:eastAsia="zh-CN"/>
        </w:rPr>
      </w:pPr>
      <w:r>
        <w:rPr>
          <w:rFonts w:hint="eastAsia" w:asciiTheme="minorEastAsia" w:hAnsiTheme="minorEastAsia" w:eastAsiaTheme="minorEastAsia" w:cstheme="minorEastAsia"/>
          <w:b/>
          <w:bCs w:val="0"/>
          <w:color w:val="000000"/>
          <w:kern w:val="0"/>
          <w:sz w:val="24"/>
          <w:szCs w:val="24"/>
          <w:lang w:val="en-US" w:eastAsia="zh-CN"/>
        </w:rPr>
        <w:t>1.2 本协议参考或使用标准：</w:t>
      </w:r>
    </w:p>
    <w:p>
      <w:pPr>
        <w:keepNext w:val="0"/>
        <w:keepLines w:val="0"/>
        <w:pageBreakBefore w:val="0"/>
        <w:widowControl w:val="0"/>
        <w:tabs>
          <w:tab w:val="left" w:pos="5685"/>
        </w:tabs>
        <w:kinsoku/>
        <w:wordWrap/>
        <w:overflowPunct/>
        <w:topLinePunct w:val="0"/>
        <w:autoSpaceDE/>
        <w:autoSpaceDN/>
        <w:bidi w:val="0"/>
        <w:adjustRightInd/>
        <w:snapToGrid/>
        <w:spacing w:line="360" w:lineRule="auto"/>
        <w:ind w:firstLine="480" w:firstLineChars="200"/>
        <w:jc w:val="left"/>
        <w:textAlignment w:val="auto"/>
        <w:rPr>
          <w:rFonts w:hint="default" w:asciiTheme="minorEastAsia" w:hAnsiTheme="minorEastAsia" w:eastAsiaTheme="minorEastAsia" w:cstheme="minorEastAsia"/>
          <w:b w:val="0"/>
          <w:bCs/>
          <w:color w:val="000000"/>
          <w:kern w:val="0"/>
          <w:sz w:val="24"/>
          <w:szCs w:val="24"/>
          <w:lang w:val="en-US" w:eastAsia="zh-CN"/>
        </w:rPr>
      </w:pPr>
      <w:r>
        <w:rPr>
          <w:rFonts w:hint="default" w:asciiTheme="minorEastAsia" w:hAnsiTheme="minorEastAsia" w:eastAsiaTheme="minorEastAsia" w:cstheme="minorEastAsia"/>
          <w:b w:val="0"/>
          <w:bCs/>
          <w:color w:val="000000"/>
          <w:kern w:val="0"/>
          <w:sz w:val="24"/>
          <w:szCs w:val="24"/>
          <w:lang w:val="en-US" w:eastAsia="zh-CN"/>
        </w:rPr>
        <w:t>GB/T2997-2015 致密定形耐火制品显气孔率、吸水率、体积密度和真气孔率试验方法</w:t>
      </w:r>
    </w:p>
    <w:p>
      <w:pPr>
        <w:keepNext w:val="0"/>
        <w:keepLines w:val="0"/>
        <w:pageBreakBefore w:val="0"/>
        <w:widowControl w:val="0"/>
        <w:tabs>
          <w:tab w:val="left" w:pos="5685"/>
        </w:tabs>
        <w:kinsoku/>
        <w:wordWrap/>
        <w:overflowPunct/>
        <w:topLinePunct w:val="0"/>
        <w:autoSpaceDE/>
        <w:autoSpaceDN/>
        <w:bidi w:val="0"/>
        <w:adjustRightInd/>
        <w:snapToGrid/>
        <w:spacing w:line="360" w:lineRule="auto"/>
        <w:ind w:firstLine="480" w:firstLineChars="200"/>
        <w:jc w:val="left"/>
        <w:textAlignment w:val="auto"/>
        <w:rPr>
          <w:rFonts w:hint="default" w:asciiTheme="minorEastAsia" w:hAnsiTheme="minorEastAsia" w:eastAsiaTheme="minorEastAsia" w:cstheme="minorEastAsia"/>
          <w:b w:val="0"/>
          <w:bCs/>
          <w:color w:val="000000"/>
          <w:kern w:val="0"/>
          <w:sz w:val="24"/>
          <w:szCs w:val="24"/>
          <w:lang w:val="en-US" w:eastAsia="zh-CN"/>
        </w:rPr>
      </w:pPr>
      <w:r>
        <w:rPr>
          <w:rFonts w:hint="default" w:asciiTheme="minorEastAsia" w:hAnsiTheme="minorEastAsia" w:eastAsiaTheme="minorEastAsia" w:cstheme="minorEastAsia"/>
          <w:b w:val="0"/>
          <w:bCs/>
          <w:color w:val="000000"/>
          <w:kern w:val="0"/>
          <w:sz w:val="24"/>
          <w:szCs w:val="24"/>
          <w:lang w:val="en-US" w:eastAsia="zh-CN"/>
        </w:rPr>
        <w:t>GB/T3005-1982 普通硅酸铝耐火纤维毡加热线收缩试验方法</w:t>
      </w:r>
    </w:p>
    <w:p>
      <w:pPr>
        <w:keepNext w:val="0"/>
        <w:keepLines w:val="0"/>
        <w:pageBreakBefore w:val="0"/>
        <w:widowControl w:val="0"/>
        <w:tabs>
          <w:tab w:val="left" w:pos="5685"/>
        </w:tabs>
        <w:kinsoku/>
        <w:wordWrap/>
        <w:overflowPunct/>
        <w:topLinePunct w:val="0"/>
        <w:autoSpaceDE/>
        <w:autoSpaceDN/>
        <w:bidi w:val="0"/>
        <w:adjustRightInd/>
        <w:snapToGrid/>
        <w:spacing w:line="360" w:lineRule="auto"/>
        <w:ind w:firstLine="480" w:firstLineChars="200"/>
        <w:jc w:val="left"/>
        <w:textAlignment w:val="auto"/>
        <w:rPr>
          <w:rFonts w:hint="default" w:asciiTheme="minorEastAsia" w:hAnsiTheme="minorEastAsia" w:eastAsiaTheme="minorEastAsia" w:cstheme="minorEastAsia"/>
          <w:b w:val="0"/>
          <w:bCs/>
          <w:color w:val="000000"/>
          <w:kern w:val="0"/>
          <w:sz w:val="24"/>
          <w:szCs w:val="24"/>
          <w:lang w:val="en-US" w:eastAsia="zh-CN"/>
        </w:rPr>
      </w:pPr>
      <w:r>
        <w:rPr>
          <w:rFonts w:hint="default" w:asciiTheme="minorEastAsia" w:hAnsiTheme="minorEastAsia" w:eastAsiaTheme="minorEastAsia" w:cstheme="minorEastAsia"/>
          <w:b w:val="0"/>
          <w:bCs/>
          <w:color w:val="000000"/>
          <w:kern w:val="0"/>
          <w:sz w:val="24"/>
          <w:szCs w:val="24"/>
          <w:lang w:val="en-US" w:eastAsia="zh-CN"/>
        </w:rPr>
        <w:t>GB/T7322-2007 耐火材料耐火度试验方法。</w:t>
      </w:r>
    </w:p>
    <w:p>
      <w:pPr>
        <w:keepNext w:val="0"/>
        <w:keepLines w:val="0"/>
        <w:pageBreakBefore w:val="0"/>
        <w:widowControl w:val="0"/>
        <w:tabs>
          <w:tab w:val="left" w:pos="5685"/>
        </w:tabs>
        <w:kinsoku/>
        <w:wordWrap/>
        <w:overflowPunct/>
        <w:topLinePunct w:val="0"/>
        <w:autoSpaceDE/>
        <w:autoSpaceDN/>
        <w:bidi w:val="0"/>
        <w:adjustRightInd/>
        <w:snapToGrid/>
        <w:spacing w:line="360" w:lineRule="auto"/>
        <w:ind w:firstLine="480" w:firstLineChars="200"/>
        <w:jc w:val="left"/>
        <w:textAlignment w:val="auto"/>
        <w:rPr>
          <w:rFonts w:hint="default" w:asciiTheme="minorEastAsia" w:hAnsiTheme="minorEastAsia" w:eastAsiaTheme="minorEastAsia" w:cstheme="minorEastAsia"/>
          <w:b w:val="0"/>
          <w:bCs/>
          <w:color w:val="000000"/>
          <w:kern w:val="0"/>
          <w:sz w:val="24"/>
          <w:szCs w:val="24"/>
          <w:lang w:val="en-US" w:eastAsia="zh-CN"/>
        </w:rPr>
      </w:pPr>
      <w:r>
        <w:rPr>
          <w:rFonts w:hint="default" w:asciiTheme="minorEastAsia" w:hAnsiTheme="minorEastAsia" w:eastAsiaTheme="minorEastAsia" w:cstheme="minorEastAsia"/>
          <w:b w:val="0"/>
          <w:bCs/>
          <w:color w:val="000000"/>
          <w:kern w:val="0"/>
          <w:sz w:val="24"/>
          <w:szCs w:val="24"/>
          <w:lang w:val="en-US" w:eastAsia="zh-CN"/>
        </w:rPr>
        <w:t>GB/T17106-1997 耐火材料导热系数试验方法。</w:t>
      </w:r>
    </w:p>
    <w:p>
      <w:pPr>
        <w:spacing w:before="156" w:beforeLines="50" w:after="156" w:afterLines="50"/>
        <w:rPr>
          <w:rFonts w:hint="eastAsia" w:ascii="黑体" w:hAnsi="宋体" w:eastAsia="黑体"/>
          <w:b/>
          <w:bCs/>
          <w:color w:val="000000"/>
          <w:sz w:val="24"/>
          <w:szCs w:val="24"/>
        </w:rPr>
      </w:pPr>
      <w:r>
        <w:rPr>
          <w:rFonts w:hint="eastAsia" w:ascii="黑体" w:hAnsi="宋体" w:eastAsia="黑体"/>
          <w:b/>
          <w:bCs/>
          <w:color w:val="000000"/>
          <w:sz w:val="24"/>
          <w:szCs w:val="24"/>
        </w:rPr>
        <w:t>2 要求</w:t>
      </w:r>
    </w:p>
    <w:p>
      <w:pPr>
        <w:spacing w:before="156" w:beforeLines="50" w:after="156" w:afterLines="50"/>
        <w:rPr>
          <w:rFonts w:hint="eastAsia" w:ascii="黑体" w:hAnsi="宋体" w:eastAsia="黑体"/>
          <w:color w:val="000000"/>
          <w:sz w:val="24"/>
          <w:szCs w:val="24"/>
          <w:lang w:val="en-US" w:eastAsia="zh-CN"/>
        </w:rPr>
      </w:pPr>
      <w:r>
        <w:rPr>
          <w:rFonts w:hint="eastAsia" w:ascii="黑体" w:hAnsi="宋体" w:eastAsia="黑体"/>
          <w:color w:val="000000"/>
          <w:sz w:val="24"/>
          <w:szCs w:val="24"/>
          <w:lang w:val="en-US" w:eastAsia="zh-CN"/>
        </w:rPr>
        <w:t>2.1 技术指标</w:t>
      </w:r>
    </w:p>
    <w:p>
      <w:pPr>
        <w:rPr>
          <w:rFonts w:hint="eastAsia" w:ascii="宋体" w:hAnsi="宋体"/>
          <w:color w:val="000000"/>
          <w:sz w:val="24"/>
          <w:szCs w:val="24"/>
          <w:lang w:val="en-US" w:eastAsia="zh-CN"/>
        </w:rPr>
      </w:pPr>
      <w:r>
        <w:rPr>
          <w:rFonts w:hint="eastAsia" w:ascii="宋体" w:hAnsi="宋体"/>
          <w:color w:val="000000"/>
          <w:sz w:val="24"/>
          <w:szCs w:val="24"/>
          <w:lang w:val="en-US" w:eastAsia="zh-CN"/>
        </w:rPr>
        <w:t>2.1.1 尺寸规格偏差</w:t>
      </w:r>
    </w:p>
    <w:p>
      <w:pPr>
        <w:ind w:firstLine="480" w:firstLineChars="200"/>
        <w:rPr>
          <w:rFonts w:hint="eastAsia" w:ascii="宋体" w:hAnsi="宋体"/>
          <w:color w:val="000000"/>
          <w:sz w:val="24"/>
          <w:szCs w:val="24"/>
          <w:lang w:val="en-US" w:eastAsia="zh-CN"/>
        </w:rPr>
      </w:pPr>
      <w:r>
        <w:rPr>
          <w:rFonts w:hint="eastAsia" w:ascii="宋体" w:hAnsi="宋体"/>
          <w:color w:val="000000"/>
          <w:sz w:val="24"/>
          <w:szCs w:val="24"/>
          <w:lang w:val="en-US" w:eastAsia="zh-CN"/>
        </w:rPr>
        <w:t>陶瓷过滤板的规格为305×305×50mm（12inch）、381×381×50mm（15inch）、432×432×50mm（17inch）三种外形尺寸规格的陶瓷过滤板。</w:t>
      </w:r>
    </w:p>
    <w:tbl>
      <w:tblPr>
        <w:tblStyle w:val="5"/>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2"/>
        <w:gridCol w:w="2172"/>
        <w:gridCol w:w="2322"/>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2" w:type="dxa"/>
            <w:vMerge w:val="restart"/>
            <w:vAlign w:val="center"/>
          </w:tcPr>
          <w:p>
            <w:pPr>
              <w:jc w:val="cente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项目</w:t>
            </w:r>
          </w:p>
        </w:tc>
        <w:tc>
          <w:tcPr>
            <w:tcW w:w="6816" w:type="dxa"/>
            <w:gridSpan w:val="3"/>
          </w:tcPr>
          <w:p>
            <w:pPr>
              <w:jc w:val="cente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尺寸允许偏差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2" w:type="dxa"/>
            <w:vMerge w:val="continue"/>
          </w:tcPr>
          <w:p>
            <w:pPr>
              <w:rPr>
                <w:rFonts w:hint="default" w:ascii="宋体" w:hAnsi="宋体"/>
                <w:color w:val="000000"/>
                <w:sz w:val="24"/>
                <w:szCs w:val="24"/>
                <w:vertAlign w:val="baseline"/>
                <w:lang w:val="en-US" w:eastAsia="zh-CN"/>
              </w:rPr>
            </w:pPr>
          </w:p>
        </w:tc>
        <w:tc>
          <w:tcPr>
            <w:tcW w:w="2172" w:type="dxa"/>
          </w:tcPr>
          <w:p>
            <w:pPr>
              <w:jc w:val="cente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≤381mm</w:t>
            </w:r>
          </w:p>
        </w:tc>
        <w:tc>
          <w:tcPr>
            <w:tcW w:w="2322" w:type="dxa"/>
          </w:tcPr>
          <w:p>
            <w:pPr>
              <w:jc w:val="cente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381mm～430mm</w:t>
            </w:r>
          </w:p>
        </w:tc>
        <w:tc>
          <w:tcPr>
            <w:tcW w:w="2322" w:type="dxa"/>
          </w:tcPr>
          <w:p>
            <w:pPr>
              <w:jc w:val="cente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≥430mm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2" w:type="dxa"/>
          </w:tcPr>
          <w:p>
            <w:pP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边长允许偏差mm</w:t>
            </w:r>
          </w:p>
        </w:tc>
        <w:tc>
          <w:tcPr>
            <w:tcW w:w="2172" w:type="dxa"/>
          </w:tcPr>
          <w:p>
            <w:pPr>
              <w:jc w:val="cente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±2</w:t>
            </w:r>
          </w:p>
        </w:tc>
        <w:tc>
          <w:tcPr>
            <w:tcW w:w="2322" w:type="dxa"/>
          </w:tcPr>
          <w:p>
            <w:pPr>
              <w:jc w:val="cente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±2</w:t>
            </w:r>
          </w:p>
        </w:tc>
        <w:tc>
          <w:tcPr>
            <w:tcW w:w="2322" w:type="dxa"/>
          </w:tcPr>
          <w:p>
            <w:pPr>
              <w:jc w:val="cente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2" w:type="dxa"/>
          </w:tcPr>
          <w:p>
            <w:pP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平面间隙mm</w:t>
            </w:r>
          </w:p>
        </w:tc>
        <w:tc>
          <w:tcPr>
            <w:tcW w:w="4494" w:type="dxa"/>
            <w:gridSpan w:val="2"/>
          </w:tcPr>
          <w:p>
            <w:pPr>
              <w:jc w:val="cente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≤3</w:t>
            </w:r>
          </w:p>
        </w:tc>
        <w:tc>
          <w:tcPr>
            <w:tcW w:w="2322" w:type="dxa"/>
          </w:tcPr>
          <w:p>
            <w:pPr>
              <w:jc w:val="cente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2" w:type="dxa"/>
          </w:tcPr>
          <w:p>
            <w:pP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对角线长允许偏差mm</w:t>
            </w:r>
          </w:p>
        </w:tc>
        <w:tc>
          <w:tcPr>
            <w:tcW w:w="6816" w:type="dxa"/>
            <w:gridSpan w:val="3"/>
          </w:tcPr>
          <w:p>
            <w:pPr>
              <w:jc w:val="cente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≤（0.6%×标准边长）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2" w:type="dxa"/>
          </w:tcPr>
          <w:p>
            <w:pP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厚度允许偏差mm</w:t>
            </w:r>
          </w:p>
        </w:tc>
        <w:tc>
          <w:tcPr>
            <w:tcW w:w="6816" w:type="dxa"/>
            <w:gridSpan w:val="3"/>
          </w:tcPr>
          <w:p>
            <w:pPr>
              <w:jc w:val="cente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2" w:type="dxa"/>
          </w:tcPr>
          <w:p>
            <w:pP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侧斜角的允许偏差mm</w:t>
            </w:r>
          </w:p>
        </w:tc>
        <w:tc>
          <w:tcPr>
            <w:tcW w:w="6816" w:type="dxa"/>
            <w:gridSpan w:val="3"/>
          </w:tcPr>
          <w:p>
            <w:pPr>
              <w:jc w:val="cente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472" w:type="dxa"/>
          </w:tcPr>
          <w:p>
            <w:pP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边长挠度mm</w:t>
            </w:r>
          </w:p>
        </w:tc>
        <w:tc>
          <w:tcPr>
            <w:tcW w:w="6816" w:type="dxa"/>
            <w:gridSpan w:val="3"/>
          </w:tcPr>
          <w:p>
            <w:pPr>
              <w:jc w:val="cente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8" w:type="dxa"/>
            <w:gridSpan w:val="4"/>
          </w:tcPr>
          <w:p>
            <w:pPr>
              <w:jc w:val="left"/>
              <w:rPr>
                <w:rFonts w:hint="eastAsia"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注1：对角线偏差是指过滤板大面上两条对角线的长度之差；</w:t>
            </w:r>
          </w:p>
          <w:p>
            <w:pPr>
              <w:jc w:val="left"/>
              <w:rPr>
                <w:rFonts w:hint="eastAsia"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注2：平面间隙是将的大面置于平台上测量过滤板与平台上测量过滤板平台之间的间隙；</w:t>
            </w:r>
          </w:p>
          <w:p>
            <w:pPr>
              <w:jc w:val="left"/>
              <w:rPr>
                <w:rFonts w:hint="eastAsia"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注3：侧斜角是指侧斜面与大面之间的夹角；</w:t>
            </w:r>
          </w:p>
          <w:p>
            <w:pPr>
              <w:jc w:val="left"/>
              <w:rPr>
                <w:rFonts w:hint="eastAsia"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注4：表中所涉及的过滤板均为理论厚度为50mm，侧斜角为17.5°的产品；</w:t>
            </w:r>
          </w:p>
          <w:p>
            <w:pPr>
              <w:jc w:val="left"/>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注5：边长挠度是指四周直线边长弯曲程度。</w:t>
            </w:r>
          </w:p>
        </w:tc>
      </w:tr>
    </w:tbl>
    <w:p>
      <w:pPr>
        <w:rPr>
          <w:rFonts w:hint="eastAsia" w:ascii="宋体" w:hAnsi="宋体"/>
          <w:color w:val="000000"/>
          <w:sz w:val="24"/>
          <w:szCs w:val="24"/>
          <w:lang w:val="en-US" w:eastAsia="zh-CN"/>
        </w:rPr>
      </w:pPr>
    </w:p>
    <w:p>
      <w:pPr>
        <w:rPr>
          <w:rFonts w:hint="eastAsia" w:ascii="宋体" w:hAnsi="宋体"/>
          <w:color w:val="000000"/>
          <w:sz w:val="24"/>
          <w:szCs w:val="24"/>
          <w:lang w:val="en-US" w:eastAsia="zh-CN"/>
        </w:rPr>
      </w:pPr>
      <w:r>
        <w:rPr>
          <w:rFonts w:hint="eastAsia" w:ascii="宋体" w:hAnsi="宋体"/>
          <w:color w:val="000000"/>
          <w:sz w:val="24"/>
          <w:szCs w:val="24"/>
          <w:lang w:val="en-US" w:eastAsia="zh-CN"/>
        </w:rPr>
        <w:t>2.1.2 关键技术指标</w:t>
      </w:r>
    </w:p>
    <w:tbl>
      <w:tblPr>
        <w:tblStyle w:val="5"/>
        <w:tblW w:w="93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5"/>
        <w:gridCol w:w="1905"/>
        <w:gridCol w:w="1907"/>
        <w:gridCol w:w="3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5" w:type="dxa"/>
          </w:tcPr>
          <w:p>
            <w:pPr>
              <w:jc w:val="center"/>
              <w:rPr>
                <w:rFonts w:hint="eastAsia"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透光率</w:t>
            </w:r>
          </w:p>
        </w:tc>
        <w:tc>
          <w:tcPr>
            <w:tcW w:w="1905" w:type="dxa"/>
          </w:tcPr>
          <w:p>
            <w:pPr>
              <w:jc w:val="center"/>
              <w:rPr>
                <w:rFonts w:hint="eastAsia"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孔隙率</w:t>
            </w:r>
          </w:p>
        </w:tc>
        <w:tc>
          <w:tcPr>
            <w:tcW w:w="1907" w:type="dxa"/>
          </w:tcPr>
          <w:p>
            <w:pPr>
              <w:jc w:val="cente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抗压强度</w:t>
            </w:r>
          </w:p>
        </w:tc>
        <w:tc>
          <w:tcPr>
            <w:tcW w:w="3585" w:type="dxa"/>
          </w:tcPr>
          <w:p>
            <w:pPr>
              <w:jc w:val="cente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抗热震性能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5" w:type="dxa"/>
          </w:tcPr>
          <w:p>
            <w:pPr>
              <w:jc w:val="cente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≥95%</w:t>
            </w:r>
          </w:p>
        </w:tc>
        <w:tc>
          <w:tcPr>
            <w:tcW w:w="1905" w:type="dxa"/>
          </w:tcPr>
          <w:p>
            <w:pPr>
              <w:jc w:val="cente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≥85%</w:t>
            </w:r>
          </w:p>
        </w:tc>
        <w:tc>
          <w:tcPr>
            <w:tcW w:w="1907" w:type="dxa"/>
          </w:tcPr>
          <w:p>
            <w:pPr>
              <w:jc w:val="cente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≥0.5Mpa</w:t>
            </w:r>
          </w:p>
        </w:tc>
        <w:tc>
          <w:tcPr>
            <w:tcW w:w="3585" w:type="dxa"/>
          </w:tcPr>
          <w:p>
            <w:pPr>
              <w:jc w:val="cente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可承受5次热震不产生热裂缺陷</w:t>
            </w:r>
          </w:p>
        </w:tc>
      </w:tr>
    </w:tbl>
    <w:p>
      <w:pPr>
        <w:rPr>
          <w:rFonts w:hint="eastAsia" w:ascii="宋体" w:hAnsi="宋体"/>
          <w:color w:val="000000"/>
          <w:sz w:val="24"/>
          <w:szCs w:val="24"/>
          <w:lang w:val="en-US" w:eastAsia="zh-CN"/>
        </w:rPr>
      </w:pPr>
      <w:r>
        <w:rPr>
          <w:rFonts w:hint="default" w:ascii="宋体" w:hAnsi="宋体"/>
          <w:color w:val="000000"/>
          <w:sz w:val="24"/>
          <w:szCs w:val="24"/>
          <w:lang w:eastAsia="zh-CN"/>
        </w:rPr>
        <w:t xml:space="preserve">    </w:t>
      </w:r>
      <w:r>
        <w:rPr>
          <w:rFonts w:hint="eastAsia" w:ascii="宋体" w:hAnsi="宋体"/>
          <w:color w:val="000000"/>
          <w:sz w:val="24"/>
          <w:szCs w:val="24"/>
          <w:lang w:val="en-US" w:eastAsia="zh-CN"/>
        </w:rPr>
        <w:t>孔隙均匀度标准，以孔密度衡量及孔洞直径，按下表执行：</w:t>
      </w:r>
    </w:p>
    <w:tbl>
      <w:tblPr>
        <w:tblStyle w:val="5"/>
        <w:tblW w:w="93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4"/>
        <w:gridCol w:w="1864"/>
        <w:gridCol w:w="1864"/>
        <w:gridCol w:w="1864"/>
        <w:gridCol w:w="1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4" w:type="dxa"/>
          </w:tcPr>
          <w:p>
            <w:pPr>
              <w:rPr>
                <w:rFonts w:hint="eastAsia"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型号</w:t>
            </w:r>
          </w:p>
        </w:tc>
        <w:tc>
          <w:tcPr>
            <w:tcW w:w="1864" w:type="dxa"/>
          </w:tcPr>
          <w:p>
            <w:pP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30PPi</w:t>
            </w:r>
          </w:p>
        </w:tc>
        <w:tc>
          <w:tcPr>
            <w:tcW w:w="1864" w:type="dxa"/>
          </w:tcPr>
          <w:p>
            <w:pP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40PPi</w:t>
            </w:r>
          </w:p>
        </w:tc>
        <w:tc>
          <w:tcPr>
            <w:tcW w:w="1864" w:type="dxa"/>
          </w:tcPr>
          <w:p>
            <w:pP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50PPi</w:t>
            </w:r>
          </w:p>
        </w:tc>
        <w:tc>
          <w:tcPr>
            <w:tcW w:w="1865" w:type="dxa"/>
          </w:tcPr>
          <w:p>
            <w:pP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60PPi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4" w:type="dxa"/>
          </w:tcPr>
          <w:p>
            <w:pP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孔密度（个）</w:t>
            </w:r>
          </w:p>
        </w:tc>
        <w:tc>
          <w:tcPr>
            <w:tcW w:w="1864" w:type="dxa"/>
          </w:tcPr>
          <w:p>
            <w:pP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27～33</w:t>
            </w:r>
          </w:p>
        </w:tc>
        <w:tc>
          <w:tcPr>
            <w:tcW w:w="1864" w:type="dxa"/>
          </w:tcPr>
          <w:p>
            <w:pP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37～43</w:t>
            </w:r>
          </w:p>
        </w:tc>
        <w:tc>
          <w:tcPr>
            <w:tcW w:w="1864" w:type="dxa"/>
          </w:tcPr>
          <w:p>
            <w:pP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47～53</w:t>
            </w:r>
          </w:p>
        </w:tc>
        <w:tc>
          <w:tcPr>
            <w:tcW w:w="1865" w:type="dxa"/>
          </w:tcPr>
          <w:p>
            <w:pP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57～63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4" w:type="dxa"/>
          </w:tcPr>
          <w:p>
            <w:pP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孔洞直径（μm）</w:t>
            </w:r>
          </w:p>
        </w:tc>
        <w:tc>
          <w:tcPr>
            <w:tcW w:w="1864" w:type="dxa"/>
          </w:tcPr>
          <w:p>
            <w:pP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1600～2100</w:t>
            </w:r>
          </w:p>
        </w:tc>
        <w:tc>
          <w:tcPr>
            <w:tcW w:w="1864" w:type="dxa"/>
          </w:tcPr>
          <w:p>
            <w:pP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1250～1470</w:t>
            </w:r>
          </w:p>
        </w:tc>
        <w:tc>
          <w:tcPr>
            <w:tcW w:w="1864" w:type="dxa"/>
          </w:tcPr>
          <w:p>
            <w:pP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900～1120</w:t>
            </w:r>
          </w:p>
        </w:tc>
        <w:tc>
          <w:tcPr>
            <w:tcW w:w="1865" w:type="dxa"/>
          </w:tcPr>
          <w:p>
            <w:pPr>
              <w:rPr>
                <w:rFonts w:hint="default" w:ascii="宋体" w:hAnsi="宋体"/>
                <w:color w:val="000000"/>
                <w:sz w:val="24"/>
                <w:szCs w:val="24"/>
                <w:vertAlign w:val="baseline"/>
                <w:lang w:val="en-US" w:eastAsia="zh-CN"/>
              </w:rPr>
            </w:pPr>
            <w:r>
              <w:rPr>
                <w:rFonts w:hint="eastAsia" w:ascii="宋体" w:hAnsi="宋体"/>
                <w:color w:val="000000"/>
                <w:sz w:val="24"/>
                <w:szCs w:val="24"/>
                <w:vertAlign w:val="baseline"/>
                <w:lang w:val="en-US" w:eastAsia="zh-CN"/>
              </w:rPr>
              <w:t>720～880</w:t>
            </w:r>
          </w:p>
        </w:tc>
      </w:tr>
    </w:tbl>
    <w:p>
      <w:pPr>
        <w:spacing w:before="156" w:beforeLines="50" w:after="156" w:afterLines="50"/>
        <w:rPr>
          <w:rFonts w:hint="eastAsia" w:ascii="黑体" w:hAnsi="宋体" w:eastAsia="黑体"/>
          <w:color w:val="000000"/>
          <w:sz w:val="24"/>
          <w:szCs w:val="24"/>
          <w:lang w:val="en-US" w:eastAsia="zh-CN"/>
        </w:rPr>
      </w:pPr>
      <w:r>
        <w:rPr>
          <w:rFonts w:hint="eastAsia" w:ascii="黑体" w:hAnsi="宋体" w:eastAsia="黑体"/>
          <w:color w:val="000000"/>
          <w:sz w:val="24"/>
          <w:szCs w:val="24"/>
          <w:lang w:val="en-US" w:eastAsia="zh-CN"/>
        </w:rPr>
        <w:t>2.2 外观质量</w:t>
      </w:r>
    </w:p>
    <w:p>
      <w:pPr>
        <w:rPr>
          <w:rFonts w:hint="eastAsia" w:ascii="宋体" w:hAnsi="宋体"/>
          <w:color w:val="000000"/>
          <w:sz w:val="24"/>
          <w:szCs w:val="24"/>
          <w:lang w:val="en-US" w:eastAsia="zh-CN"/>
        </w:rPr>
      </w:pPr>
      <w:r>
        <w:rPr>
          <w:rFonts w:hint="default" w:ascii="宋体" w:hAnsi="宋体"/>
          <w:color w:val="000000"/>
          <w:sz w:val="24"/>
          <w:szCs w:val="24"/>
          <w:lang w:eastAsia="zh-CN"/>
        </w:rPr>
        <w:t xml:space="preserve">  </w:t>
      </w:r>
      <w:r>
        <w:rPr>
          <w:rFonts w:hint="eastAsia" w:ascii="宋体" w:hAnsi="宋体"/>
          <w:color w:val="000000"/>
          <w:sz w:val="24"/>
          <w:szCs w:val="24"/>
          <w:lang w:val="en-US" w:eastAsia="zh-CN"/>
        </w:rPr>
        <w:t>2.</w:t>
      </w:r>
      <w:r>
        <w:rPr>
          <w:rFonts w:hint="default" w:ascii="宋体" w:hAnsi="宋体"/>
          <w:color w:val="000000"/>
          <w:sz w:val="24"/>
          <w:szCs w:val="24"/>
          <w:lang w:eastAsia="zh-CN"/>
        </w:rPr>
        <w:t>2.</w:t>
      </w:r>
      <w:r>
        <w:rPr>
          <w:rFonts w:hint="eastAsia" w:ascii="宋体" w:hAnsi="宋体"/>
          <w:color w:val="000000"/>
          <w:sz w:val="24"/>
          <w:szCs w:val="24"/>
          <w:lang w:val="en-US" w:eastAsia="zh-CN"/>
        </w:rPr>
        <w:t>1 包装必须进行防潮防震包装处理，保证开箱后内部无任何残缺、损伤及开裂。</w:t>
      </w:r>
    </w:p>
    <w:p>
      <w:pPr>
        <w:rPr>
          <w:rFonts w:hint="default" w:ascii="宋体" w:hAnsi="宋体"/>
          <w:color w:val="000000"/>
          <w:sz w:val="24"/>
          <w:szCs w:val="24"/>
          <w:lang w:val="en-US" w:eastAsia="zh-CN"/>
        </w:rPr>
      </w:pPr>
      <w:r>
        <w:rPr>
          <w:rFonts w:hint="default" w:ascii="宋体" w:hAnsi="宋体"/>
          <w:color w:val="000000"/>
          <w:sz w:val="24"/>
          <w:szCs w:val="24"/>
          <w:lang w:eastAsia="zh-CN"/>
        </w:rPr>
        <w:t xml:space="preserve">  </w:t>
      </w:r>
      <w:r>
        <w:rPr>
          <w:rFonts w:hint="eastAsia" w:ascii="宋体" w:hAnsi="宋体"/>
          <w:color w:val="000000"/>
          <w:sz w:val="24"/>
          <w:szCs w:val="24"/>
          <w:lang w:val="en-US" w:eastAsia="zh-CN"/>
        </w:rPr>
        <w:t>2.</w:t>
      </w:r>
      <w:r>
        <w:rPr>
          <w:rFonts w:hint="default" w:ascii="宋体" w:hAnsi="宋体"/>
          <w:color w:val="000000"/>
          <w:sz w:val="24"/>
          <w:szCs w:val="24"/>
          <w:lang w:eastAsia="zh-CN"/>
        </w:rPr>
        <w:t>2.</w:t>
      </w:r>
      <w:r>
        <w:rPr>
          <w:rFonts w:hint="eastAsia" w:ascii="宋体" w:hAnsi="宋体"/>
          <w:color w:val="000000"/>
          <w:sz w:val="24"/>
          <w:szCs w:val="24"/>
          <w:lang w:val="en-US" w:eastAsia="zh-CN"/>
        </w:rPr>
        <w:t>2 每片陶瓷过滤板有独立包装，独立包装固定位置明显标识过滤板尺寸规格及孔密度型号。</w:t>
      </w:r>
    </w:p>
    <w:p>
      <w:pPr>
        <w:rPr>
          <w:rFonts w:hint="eastAsia" w:ascii="宋体" w:hAnsi="宋体"/>
          <w:color w:val="000000"/>
          <w:sz w:val="24"/>
          <w:szCs w:val="24"/>
          <w:lang w:val="en-US" w:eastAsia="zh-CN"/>
        </w:rPr>
      </w:pPr>
      <w:r>
        <w:rPr>
          <w:rFonts w:hint="default" w:ascii="宋体" w:hAnsi="宋体"/>
          <w:color w:val="000000"/>
          <w:sz w:val="24"/>
          <w:szCs w:val="24"/>
          <w:lang w:eastAsia="zh-CN"/>
        </w:rPr>
        <w:t xml:space="preserve">  </w:t>
      </w:r>
      <w:r>
        <w:rPr>
          <w:rFonts w:hint="eastAsia" w:ascii="宋体" w:hAnsi="宋体"/>
          <w:color w:val="000000"/>
          <w:sz w:val="24"/>
          <w:szCs w:val="24"/>
          <w:lang w:val="en-US" w:eastAsia="zh-CN"/>
        </w:rPr>
        <w:t>2.</w:t>
      </w:r>
      <w:r>
        <w:rPr>
          <w:rFonts w:hint="default" w:ascii="宋体" w:hAnsi="宋体"/>
          <w:color w:val="000000"/>
          <w:sz w:val="24"/>
          <w:szCs w:val="24"/>
          <w:lang w:eastAsia="zh-CN"/>
        </w:rPr>
        <w:t>2.</w:t>
      </w:r>
      <w:r>
        <w:rPr>
          <w:rFonts w:hint="eastAsia" w:ascii="宋体" w:hAnsi="宋体"/>
          <w:color w:val="000000"/>
          <w:sz w:val="24"/>
          <w:szCs w:val="24"/>
          <w:lang w:val="en-US" w:eastAsia="zh-CN"/>
        </w:rPr>
        <w:t>3 侧边采用6mm纤维棉或4.1mm热膨胀棉稳固粘贴，粘贴接头部位严丝合缝。</w:t>
      </w:r>
    </w:p>
    <w:p>
      <w:pPr>
        <w:rPr>
          <w:rFonts w:hint="eastAsia" w:ascii="宋体" w:hAnsi="宋体"/>
          <w:color w:val="000000"/>
          <w:sz w:val="24"/>
          <w:szCs w:val="24"/>
          <w:lang w:val="en-US" w:eastAsia="zh-CN"/>
        </w:rPr>
      </w:pPr>
      <w:r>
        <w:rPr>
          <w:rFonts w:hint="default" w:ascii="宋体" w:hAnsi="宋体"/>
          <w:color w:val="000000"/>
          <w:sz w:val="24"/>
          <w:szCs w:val="24"/>
          <w:lang w:eastAsia="zh-CN"/>
        </w:rPr>
        <w:t xml:space="preserve">  </w:t>
      </w:r>
      <w:r>
        <w:rPr>
          <w:rFonts w:hint="eastAsia" w:ascii="宋体" w:hAnsi="宋体"/>
          <w:color w:val="000000"/>
          <w:sz w:val="24"/>
          <w:szCs w:val="24"/>
          <w:lang w:val="en-US" w:eastAsia="zh-CN"/>
        </w:rPr>
        <w:t>2.</w:t>
      </w:r>
      <w:r>
        <w:rPr>
          <w:rFonts w:hint="default" w:ascii="宋体" w:hAnsi="宋体"/>
          <w:color w:val="000000"/>
          <w:sz w:val="24"/>
          <w:szCs w:val="24"/>
          <w:lang w:eastAsia="zh-CN"/>
        </w:rPr>
        <w:t>2.</w:t>
      </w:r>
      <w:r>
        <w:rPr>
          <w:rFonts w:hint="eastAsia" w:ascii="宋体" w:hAnsi="宋体"/>
          <w:color w:val="000000"/>
          <w:sz w:val="24"/>
          <w:szCs w:val="24"/>
          <w:lang w:val="en-US" w:eastAsia="zh-CN"/>
        </w:rPr>
        <w:t>4 轻拍过滤板不得出现掉渣掉屑情况。</w:t>
      </w:r>
    </w:p>
    <w:p>
      <w:pPr>
        <w:rPr>
          <w:rFonts w:hint="eastAsia" w:ascii="宋体" w:hAnsi="宋体"/>
          <w:color w:val="000000"/>
          <w:sz w:val="24"/>
          <w:szCs w:val="24"/>
          <w:lang w:val="en-US" w:eastAsia="zh-CN"/>
        </w:rPr>
      </w:pPr>
      <w:r>
        <w:rPr>
          <w:rFonts w:hint="default" w:ascii="宋体" w:hAnsi="宋体"/>
          <w:color w:val="000000"/>
          <w:sz w:val="24"/>
          <w:szCs w:val="24"/>
          <w:lang w:eastAsia="zh-CN"/>
        </w:rPr>
        <w:t xml:space="preserve">  </w:t>
      </w:r>
      <w:r>
        <w:rPr>
          <w:rFonts w:hint="eastAsia" w:ascii="宋体" w:hAnsi="宋体"/>
          <w:color w:val="000000"/>
          <w:sz w:val="24"/>
          <w:szCs w:val="24"/>
          <w:lang w:val="en-US" w:eastAsia="zh-CN"/>
        </w:rPr>
        <w:t>2.</w:t>
      </w:r>
      <w:r>
        <w:rPr>
          <w:rFonts w:hint="default" w:ascii="宋体" w:hAnsi="宋体"/>
          <w:color w:val="000000"/>
          <w:sz w:val="24"/>
          <w:szCs w:val="24"/>
          <w:lang w:eastAsia="zh-CN"/>
        </w:rPr>
        <w:t>2.</w:t>
      </w:r>
      <w:r>
        <w:rPr>
          <w:rFonts w:hint="eastAsia" w:ascii="宋体" w:hAnsi="宋体"/>
          <w:color w:val="000000"/>
          <w:sz w:val="24"/>
          <w:szCs w:val="24"/>
          <w:lang w:val="en-US" w:eastAsia="zh-CN"/>
        </w:rPr>
        <w:t>5 过滤板不允许出现直通孔道。</w:t>
      </w:r>
    </w:p>
    <w:p>
      <w:pPr>
        <w:tabs>
          <w:tab w:val="left" w:pos="7965"/>
        </w:tabs>
        <w:spacing w:before="156" w:beforeLines="50" w:after="156" w:afterLines="50"/>
        <w:rPr>
          <w:rFonts w:hint="eastAsia" w:ascii="黑体" w:hAnsi="宋体" w:eastAsia="黑体"/>
          <w:b/>
          <w:bCs/>
          <w:color w:val="000000"/>
          <w:sz w:val="24"/>
          <w:szCs w:val="24"/>
          <w:lang w:eastAsia="zh-CN"/>
        </w:rPr>
      </w:pPr>
      <w:bookmarkStart w:id="0" w:name="_GoBack"/>
      <w:bookmarkEnd w:id="0"/>
      <w:r>
        <w:rPr>
          <w:rFonts w:hint="eastAsia" w:ascii="黑体" w:hAnsi="宋体" w:eastAsia="黑体"/>
          <w:b/>
          <w:bCs/>
          <w:color w:val="000000"/>
          <w:sz w:val="24"/>
          <w:szCs w:val="24"/>
        </w:rPr>
        <w:t>3 检查验收</w:t>
      </w:r>
      <w:r>
        <w:rPr>
          <w:rFonts w:hint="eastAsia" w:ascii="黑体" w:hAnsi="宋体" w:eastAsia="黑体"/>
          <w:b/>
          <w:bCs/>
          <w:color w:val="000000"/>
          <w:sz w:val="24"/>
          <w:szCs w:val="24"/>
          <w:lang w:eastAsia="zh-CN"/>
        </w:rPr>
        <w:tab/>
      </w:r>
    </w:p>
    <w:p>
      <w:pPr>
        <w:rPr>
          <w:rFonts w:hint="eastAsia" w:ascii="宋体" w:hAnsi="宋体"/>
          <w:color w:val="000000"/>
          <w:sz w:val="24"/>
          <w:szCs w:val="24"/>
        </w:rPr>
      </w:pPr>
      <w:r>
        <w:rPr>
          <w:rFonts w:hint="eastAsia" w:ascii="宋体" w:hAnsi="宋体"/>
          <w:color w:val="000000"/>
          <w:sz w:val="24"/>
          <w:szCs w:val="24"/>
        </w:rPr>
        <w:t>3.1 进入公司的</w:t>
      </w:r>
      <w:r>
        <w:rPr>
          <w:rFonts w:hint="eastAsia" w:ascii="宋体" w:hAnsi="宋体"/>
          <w:color w:val="000000"/>
          <w:sz w:val="24"/>
          <w:szCs w:val="24"/>
          <w:lang w:eastAsia="zh-CN"/>
        </w:rPr>
        <w:t>泡沫陶瓷过滤板</w:t>
      </w:r>
      <w:r>
        <w:rPr>
          <w:rFonts w:hint="eastAsia" w:ascii="宋体" w:hAnsi="宋体"/>
          <w:color w:val="000000"/>
          <w:sz w:val="24"/>
          <w:szCs w:val="24"/>
        </w:rPr>
        <w:t>应附有产品合格证和质量证明书，否则不予验收。</w:t>
      </w:r>
    </w:p>
    <w:p>
      <w:pPr>
        <w:rPr>
          <w:rFonts w:hint="eastAsia" w:ascii="宋体" w:hAnsi="宋体"/>
          <w:color w:val="000000"/>
          <w:sz w:val="24"/>
          <w:szCs w:val="24"/>
        </w:rPr>
      </w:pPr>
      <w:r>
        <w:rPr>
          <w:rFonts w:hint="eastAsia" w:ascii="宋体" w:hAnsi="宋体"/>
          <w:color w:val="000000"/>
          <w:sz w:val="24"/>
          <w:szCs w:val="24"/>
        </w:rPr>
        <w:t>3.2 组批</w:t>
      </w:r>
    </w:p>
    <w:p>
      <w:pPr>
        <w:ind w:firstLine="435"/>
        <w:rPr>
          <w:rFonts w:hint="eastAsia" w:ascii="宋体" w:hAnsi="宋体"/>
          <w:color w:val="000000"/>
          <w:sz w:val="24"/>
          <w:szCs w:val="24"/>
        </w:rPr>
      </w:pPr>
      <w:r>
        <w:rPr>
          <w:rFonts w:hint="eastAsia" w:ascii="宋体" w:hAnsi="宋体"/>
          <w:color w:val="000000"/>
          <w:sz w:val="24"/>
          <w:szCs w:val="24"/>
        </w:rPr>
        <w:t>进入公司的每批检验，同一厂商连续供货，每</w:t>
      </w:r>
      <w:r>
        <w:rPr>
          <w:rFonts w:hint="eastAsia" w:ascii="宋体" w:hAnsi="宋体"/>
          <w:color w:val="000000"/>
          <w:sz w:val="24"/>
          <w:szCs w:val="24"/>
          <w:lang w:val="en-US" w:eastAsia="zh-CN"/>
        </w:rPr>
        <w:t>100片</w:t>
      </w:r>
      <w:r>
        <w:rPr>
          <w:rFonts w:hint="eastAsia" w:ascii="宋体" w:hAnsi="宋体"/>
          <w:color w:val="000000"/>
          <w:sz w:val="24"/>
          <w:szCs w:val="24"/>
        </w:rPr>
        <w:t>为一批。</w:t>
      </w:r>
    </w:p>
    <w:p>
      <w:pPr>
        <w:rPr>
          <w:rFonts w:hint="eastAsia" w:ascii="宋体" w:hAnsi="宋体"/>
          <w:color w:val="000000"/>
          <w:sz w:val="24"/>
          <w:szCs w:val="24"/>
        </w:rPr>
      </w:pPr>
      <w:r>
        <w:rPr>
          <w:rFonts w:hint="eastAsia" w:ascii="宋体" w:hAnsi="宋体"/>
          <w:color w:val="000000"/>
          <w:sz w:val="24"/>
          <w:szCs w:val="24"/>
        </w:rPr>
        <w:t>3.3 取样</w:t>
      </w:r>
    </w:p>
    <w:p>
      <w:pPr>
        <w:ind w:firstLine="480" w:firstLineChars="200"/>
        <w:rPr>
          <w:rFonts w:hint="default" w:ascii="宋体" w:hAnsi="宋体"/>
          <w:color w:val="000000"/>
          <w:sz w:val="24"/>
          <w:szCs w:val="24"/>
          <w:lang w:val="en-US" w:eastAsia="zh-CN"/>
        </w:rPr>
      </w:pPr>
      <w:r>
        <w:rPr>
          <w:rFonts w:hint="eastAsia" w:ascii="宋体" w:hAnsi="宋体"/>
          <w:color w:val="000000"/>
          <w:sz w:val="24"/>
          <w:szCs w:val="24"/>
          <w:lang w:val="en-US" w:eastAsia="zh-CN"/>
        </w:rPr>
        <w:t>取样规范可参考GB/T 10325-2012 《定形耐火制品验收抽样检验规则》</w:t>
      </w:r>
    </w:p>
    <w:p>
      <w:pPr>
        <w:rPr>
          <w:rFonts w:hint="eastAsia" w:ascii="宋体" w:hAnsi="宋体"/>
          <w:color w:val="000000"/>
          <w:sz w:val="24"/>
          <w:szCs w:val="24"/>
        </w:rPr>
      </w:pPr>
      <w:r>
        <w:rPr>
          <w:rFonts w:hint="eastAsia" w:ascii="宋体" w:hAnsi="宋体"/>
          <w:color w:val="000000"/>
          <w:sz w:val="24"/>
          <w:szCs w:val="24"/>
        </w:rPr>
        <w:t>3.4 检验项目</w:t>
      </w:r>
    </w:p>
    <w:p>
      <w:pPr>
        <w:ind w:left="0" w:leftChars="0" w:firstLine="0" w:firstLineChars="0"/>
        <w:rPr>
          <w:rFonts w:hint="eastAsia" w:ascii="宋体" w:hAnsi="宋体"/>
          <w:color w:val="000000"/>
          <w:sz w:val="24"/>
          <w:szCs w:val="24"/>
          <w:lang w:eastAsia="zh-CN"/>
        </w:rPr>
      </w:pPr>
      <w:r>
        <w:rPr>
          <w:rFonts w:hint="default" w:ascii="宋体" w:hAnsi="宋体"/>
          <w:color w:val="000000"/>
          <w:sz w:val="24"/>
          <w:szCs w:val="24"/>
          <w:lang w:eastAsia="zh-CN"/>
        </w:rPr>
        <w:t xml:space="preserve">  3.4.1</w:t>
      </w:r>
      <w:r>
        <w:rPr>
          <w:rFonts w:hint="eastAsia" w:ascii="宋体" w:hAnsi="宋体"/>
          <w:color w:val="000000"/>
          <w:sz w:val="24"/>
          <w:szCs w:val="24"/>
          <w:lang w:eastAsia="zh-CN"/>
        </w:rPr>
        <w:t>供方交货时</w:t>
      </w:r>
      <w:r>
        <w:rPr>
          <w:rFonts w:hint="eastAsia" w:ascii="宋体" w:hAnsi="宋体"/>
          <w:color w:val="000000"/>
          <w:sz w:val="24"/>
          <w:szCs w:val="24"/>
        </w:rPr>
        <w:t>应进行外</w:t>
      </w:r>
      <w:r>
        <w:rPr>
          <w:rFonts w:hint="eastAsia" w:ascii="宋体" w:hAnsi="宋体"/>
          <w:color w:val="000000"/>
          <w:sz w:val="24"/>
          <w:szCs w:val="24"/>
          <w:lang w:eastAsia="zh-CN"/>
        </w:rPr>
        <w:t>包装</w:t>
      </w:r>
      <w:r>
        <w:rPr>
          <w:rFonts w:hint="eastAsia" w:ascii="宋体" w:hAnsi="宋体"/>
          <w:color w:val="000000"/>
          <w:sz w:val="24"/>
          <w:szCs w:val="24"/>
        </w:rPr>
        <w:t>质量</w:t>
      </w:r>
      <w:r>
        <w:rPr>
          <w:rFonts w:hint="eastAsia" w:ascii="宋体" w:hAnsi="宋体"/>
          <w:color w:val="000000"/>
          <w:sz w:val="24"/>
          <w:szCs w:val="24"/>
          <w:lang w:eastAsia="zh-CN"/>
        </w:rPr>
        <w:t>检查。</w:t>
      </w:r>
    </w:p>
    <w:p>
      <w:pPr>
        <w:ind w:left="0" w:leftChars="0" w:firstLine="0" w:firstLineChars="0"/>
        <w:rPr>
          <w:rFonts w:hint="eastAsia" w:ascii="宋体" w:hAnsi="宋体"/>
          <w:color w:val="000000"/>
          <w:sz w:val="24"/>
          <w:szCs w:val="24"/>
          <w:lang w:eastAsia="zh-CN"/>
        </w:rPr>
      </w:pPr>
      <w:r>
        <w:rPr>
          <w:rFonts w:hint="default" w:ascii="宋体" w:hAnsi="宋体"/>
          <w:color w:val="000000"/>
          <w:sz w:val="24"/>
          <w:szCs w:val="24"/>
          <w:lang w:eastAsia="zh-CN"/>
        </w:rPr>
        <w:t xml:space="preserve">  3.4.2</w:t>
      </w:r>
      <w:r>
        <w:rPr>
          <w:rFonts w:hint="eastAsia" w:ascii="宋体" w:hAnsi="宋体"/>
          <w:color w:val="000000"/>
          <w:sz w:val="24"/>
          <w:szCs w:val="24"/>
          <w:lang w:eastAsia="zh-CN"/>
        </w:rPr>
        <w:t>领取开箱后外包装完好的情况下对内部泡沫陶瓷过滤板外观进行检查，确保无损伤、开裂等。</w:t>
      </w:r>
    </w:p>
    <w:p>
      <w:pPr>
        <w:ind w:firstLine="435"/>
        <w:rPr>
          <w:rFonts w:hint="default" w:ascii="宋体" w:hAnsi="宋体"/>
          <w:color w:val="000000"/>
          <w:sz w:val="24"/>
          <w:szCs w:val="24"/>
          <w:lang w:val="en-US" w:eastAsia="zh-CN"/>
        </w:rPr>
      </w:pPr>
      <w:r>
        <w:rPr>
          <w:rFonts w:hint="eastAsia" w:ascii="宋体" w:hAnsi="宋体"/>
          <w:color w:val="000000"/>
          <w:sz w:val="24"/>
          <w:szCs w:val="24"/>
          <w:lang w:val="en-US" w:eastAsia="zh-CN"/>
        </w:rPr>
        <w:t>相关检测，参考GB/T 10325-2012 《定形耐火制品验收抽样检验规则》和GB/T 10326-2016 《定形耐火制品尺寸</w:t>
      </w:r>
      <w:r>
        <w:rPr>
          <w:rFonts w:hint="default" w:ascii="宋体" w:hAnsi="宋体"/>
          <w:color w:val="000000"/>
          <w:sz w:val="24"/>
          <w:szCs w:val="24"/>
          <w:lang w:eastAsia="zh-CN"/>
        </w:rPr>
        <w:t>、</w:t>
      </w:r>
      <w:r>
        <w:rPr>
          <w:rFonts w:hint="eastAsia" w:ascii="宋体" w:hAnsi="宋体"/>
          <w:color w:val="000000"/>
          <w:sz w:val="24"/>
          <w:szCs w:val="24"/>
          <w:lang w:val="en-US" w:eastAsia="zh-CN"/>
        </w:rPr>
        <w:t>外观及断面的检查方法》。</w:t>
      </w:r>
    </w:p>
    <w:p>
      <w:pPr>
        <w:ind w:firstLine="435"/>
        <w:rPr>
          <w:rFonts w:hint="eastAsia" w:ascii="宋体" w:hAnsi="宋体"/>
          <w:color w:val="000000"/>
          <w:sz w:val="24"/>
          <w:szCs w:val="24"/>
          <w:lang w:eastAsia="zh-CN"/>
        </w:rPr>
      </w:pPr>
      <w:r>
        <w:rPr>
          <w:rFonts w:hint="eastAsia" w:ascii="宋体" w:hAnsi="宋体"/>
          <w:color w:val="000000"/>
          <w:sz w:val="24"/>
          <w:szCs w:val="24"/>
          <w:lang w:eastAsia="zh-CN"/>
        </w:rPr>
        <w:t>外观尺寸由</w:t>
      </w:r>
      <w:r>
        <w:rPr>
          <w:rFonts w:hint="eastAsia" w:ascii="宋体" w:hAnsi="宋体"/>
          <w:color w:val="000000"/>
          <w:sz w:val="24"/>
          <w:szCs w:val="24"/>
          <w:lang w:val="en-US" w:eastAsia="zh-CN"/>
        </w:rPr>
        <w:t>生产使用时</w:t>
      </w:r>
      <w:r>
        <w:rPr>
          <w:rFonts w:hint="eastAsia" w:ascii="宋体" w:hAnsi="宋体"/>
          <w:color w:val="000000"/>
          <w:sz w:val="24"/>
          <w:szCs w:val="24"/>
          <w:lang w:eastAsia="zh-CN"/>
        </w:rPr>
        <w:t>负责检查。</w:t>
      </w:r>
    </w:p>
    <w:p>
      <w:pPr>
        <w:rPr>
          <w:rFonts w:hint="eastAsia" w:ascii="宋体" w:hAnsi="宋体"/>
          <w:color w:val="000000"/>
          <w:sz w:val="24"/>
          <w:szCs w:val="24"/>
        </w:rPr>
      </w:pPr>
      <w:r>
        <w:rPr>
          <w:rFonts w:hint="eastAsia" w:ascii="宋体" w:hAnsi="宋体"/>
          <w:color w:val="000000"/>
          <w:sz w:val="24"/>
          <w:szCs w:val="24"/>
        </w:rPr>
        <w:t>3.5 检验结果判定</w:t>
      </w:r>
    </w:p>
    <w:p>
      <w:pPr>
        <w:ind w:firstLine="435"/>
        <w:rPr>
          <w:rFonts w:hint="eastAsia" w:ascii="宋体" w:hAnsi="宋体"/>
          <w:color w:val="000000"/>
          <w:sz w:val="24"/>
          <w:szCs w:val="24"/>
        </w:rPr>
      </w:pPr>
      <w:r>
        <w:rPr>
          <w:rFonts w:hint="eastAsia" w:ascii="宋体" w:hAnsi="宋体"/>
          <w:color w:val="000000"/>
          <w:sz w:val="24"/>
          <w:szCs w:val="24"/>
        </w:rPr>
        <w:t>若检验项目不合格应</w:t>
      </w:r>
      <w:r>
        <w:rPr>
          <w:rFonts w:hint="default" w:ascii="宋体" w:hAnsi="宋体"/>
          <w:color w:val="000000"/>
          <w:sz w:val="24"/>
          <w:szCs w:val="24"/>
        </w:rPr>
        <w:t>双</w:t>
      </w:r>
      <w:r>
        <w:rPr>
          <w:rFonts w:hint="eastAsia" w:ascii="宋体" w:hAnsi="宋体"/>
          <w:color w:val="000000"/>
          <w:sz w:val="24"/>
          <w:szCs w:val="24"/>
        </w:rPr>
        <w:t>倍取样重复检验，重复检验合格则办理入库手续，否则按不合格处理。</w:t>
      </w:r>
    </w:p>
    <w:p>
      <w:pPr>
        <w:tabs>
          <w:tab w:val="left" w:pos="7965"/>
        </w:tabs>
        <w:spacing w:before="156" w:beforeLines="50" w:after="156" w:afterLines="50"/>
        <w:rPr>
          <w:rFonts w:hint="eastAsia" w:ascii="黑体" w:hAnsi="宋体" w:eastAsia="黑体"/>
          <w:b/>
          <w:bCs/>
          <w:color w:val="000000"/>
          <w:sz w:val="24"/>
          <w:szCs w:val="24"/>
          <w:lang w:val="en-US" w:eastAsia="zh-CN"/>
        </w:rPr>
      </w:pPr>
      <w:r>
        <w:rPr>
          <w:rFonts w:hint="eastAsia" w:ascii="黑体" w:hAnsi="宋体" w:eastAsia="黑体"/>
          <w:b/>
          <w:bCs/>
          <w:color w:val="000000"/>
          <w:sz w:val="24"/>
          <w:szCs w:val="24"/>
          <w:lang w:val="en-US" w:eastAsia="zh-CN"/>
        </w:rPr>
        <w:t>4 其他事项</w:t>
      </w:r>
    </w:p>
    <w:p>
      <w:pPr>
        <w:rPr>
          <w:rFonts w:hint="eastAsia" w:ascii="宋体" w:hAnsi="宋体"/>
          <w:color w:val="000000"/>
          <w:sz w:val="24"/>
          <w:szCs w:val="24"/>
          <w:lang w:val="en-US" w:eastAsia="zh-CN"/>
        </w:rPr>
      </w:pPr>
      <w:r>
        <w:rPr>
          <w:rFonts w:hint="eastAsia" w:ascii="宋体" w:hAnsi="宋体"/>
          <w:color w:val="000000"/>
          <w:sz w:val="24"/>
          <w:szCs w:val="24"/>
          <w:lang w:val="en-US" w:eastAsia="zh-CN"/>
        </w:rPr>
        <w:t>4.1  产品不合格无法使用的将以退货处理，此后将不再纳入合格供应商；</w:t>
      </w:r>
    </w:p>
    <w:p>
      <w:pPr>
        <w:rPr>
          <w:rFonts w:hint="eastAsia" w:ascii="宋体" w:hAnsi="宋体"/>
          <w:color w:val="000000"/>
          <w:sz w:val="24"/>
          <w:szCs w:val="24"/>
          <w:lang w:val="en-US" w:eastAsia="zh-CN"/>
        </w:rPr>
      </w:pPr>
      <w:r>
        <w:rPr>
          <w:rFonts w:hint="eastAsia" w:ascii="宋体" w:hAnsi="宋体"/>
          <w:color w:val="000000"/>
          <w:sz w:val="24"/>
          <w:szCs w:val="24"/>
          <w:lang w:val="en-US" w:eastAsia="zh-CN"/>
        </w:rPr>
        <w:t>4.2  本协议经双方委托代理人签字并加盖合同专用章后作为产品采购合同的附件，与产品采购合同同时生效。</w:t>
      </w:r>
    </w:p>
    <w:p>
      <w:pPr>
        <w:rPr>
          <w:rFonts w:hint="eastAsia" w:ascii="宋体" w:hAnsi="宋体"/>
          <w:color w:val="000000"/>
          <w:sz w:val="24"/>
          <w:szCs w:val="24"/>
          <w:lang w:val="en-US" w:eastAsia="zh-CN"/>
        </w:rPr>
      </w:pPr>
      <w:r>
        <w:rPr>
          <w:rFonts w:hint="eastAsia" w:ascii="宋体" w:hAnsi="宋体"/>
          <w:color w:val="000000"/>
          <w:sz w:val="24"/>
          <w:szCs w:val="24"/>
          <w:lang w:val="en-US" w:eastAsia="zh-CN"/>
        </w:rPr>
        <w:t>4.3  若乙方公司不能中标，则本技术协议自动失效，双方互不承担任何责任,本协议条款不允许有任何涂改，如果涂改的，涂改部分无效。</w:t>
      </w:r>
    </w:p>
    <w:p>
      <w:pPr>
        <w:rPr>
          <w:rFonts w:hint="eastAsia" w:ascii="宋体" w:hAnsi="宋体"/>
          <w:color w:val="000000"/>
          <w:sz w:val="24"/>
          <w:szCs w:val="24"/>
          <w:lang w:val="en-US" w:eastAsia="zh-CN"/>
        </w:rPr>
      </w:pPr>
      <w:r>
        <w:rPr>
          <w:rFonts w:hint="eastAsia" w:ascii="宋体" w:hAnsi="宋体"/>
          <w:color w:val="000000"/>
          <w:sz w:val="24"/>
          <w:szCs w:val="24"/>
          <w:lang w:val="en-US" w:eastAsia="zh-CN"/>
        </w:rPr>
        <w:t>4.4  本规格书有效期限为两年。</w:t>
      </w:r>
    </w:p>
    <w:p>
      <w:pPr>
        <w:ind w:left="0" w:leftChars="0" w:firstLine="501" w:firstLineChars="209"/>
        <w:rPr>
          <w:rFonts w:hint="eastAsia"/>
          <w:sz w:val="24"/>
          <w:szCs w:val="24"/>
          <w:lang w:val="en-US" w:eastAsia="zh-CN"/>
        </w:rPr>
      </w:pPr>
    </w:p>
    <w:p>
      <w:pPr>
        <w:keepNext w:val="0"/>
        <w:keepLines w:val="0"/>
        <w:pageBreakBefore w:val="0"/>
        <w:widowControl w:val="0"/>
        <w:tabs>
          <w:tab w:val="left" w:pos="5685"/>
        </w:tabs>
        <w:kinsoku/>
        <w:wordWrap/>
        <w:overflowPunct/>
        <w:topLinePunct w:val="0"/>
        <w:autoSpaceDE/>
        <w:autoSpaceDN/>
        <w:bidi w:val="0"/>
        <w:adjustRightInd/>
        <w:snapToGrid/>
        <w:spacing w:line="360" w:lineRule="auto"/>
        <w:ind w:firstLine="0"/>
        <w:jc w:val="left"/>
        <w:textAlignment w:val="auto"/>
        <w:rPr>
          <w:rFonts w:hint="eastAsia"/>
          <w:sz w:val="24"/>
          <w:szCs w:val="24"/>
        </w:rPr>
      </w:pPr>
      <w:r>
        <w:rPr>
          <w:rFonts w:hint="eastAsia" w:ascii="宋体" w:cs="宋体"/>
          <w:b w:val="0"/>
          <w:bCs w:val="0"/>
          <w:color w:val="000000"/>
          <w:kern w:val="0"/>
          <w:sz w:val="24"/>
          <w:szCs w:val="24"/>
          <w:lang w:val="en-US" w:eastAsia="zh-CN"/>
        </w:rPr>
        <w:t>本协议一式贰份，甲乙双方各一份。</w:t>
      </w:r>
    </w:p>
    <w:tbl>
      <w:tblPr>
        <w:tblStyle w:val="5"/>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45"/>
        <w:gridCol w:w="4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4745" w:type="dxa"/>
            <w:vAlign w:val="center"/>
          </w:tcPr>
          <w:p>
            <w:pPr>
              <w:keepNext w:val="0"/>
              <w:keepLines w:val="0"/>
              <w:pageBreakBefore w:val="0"/>
              <w:widowControl w:val="0"/>
              <w:tabs>
                <w:tab w:val="left" w:pos="5685"/>
              </w:tabs>
              <w:kinsoku/>
              <w:wordWrap/>
              <w:overflowPunct/>
              <w:topLinePunct w:val="0"/>
              <w:autoSpaceDE/>
              <w:autoSpaceDN/>
              <w:bidi w:val="0"/>
              <w:adjustRightInd/>
              <w:snapToGrid/>
              <w:spacing w:line="360" w:lineRule="auto"/>
              <w:jc w:val="center"/>
              <w:textAlignment w:val="auto"/>
              <w:rPr>
                <w:rFonts w:hint="default" w:ascii="宋体" w:cs="宋体"/>
                <w:b w:val="0"/>
                <w:bCs w:val="0"/>
                <w:color w:val="000000"/>
                <w:kern w:val="0"/>
                <w:sz w:val="24"/>
                <w:szCs w:val="24"/>
                <w:vertAlign w:val="baseline"/>
                <w:lang w:val="en-US" w:eastAsia="zh-CN"/>
              </w:rPr>
            </w:pPr>
            <w:r>
              <w:rPr>
                <w:rFonts w:hint="eastAsia" w:ascii="宋体" w:cs="宋体"/>
                <w:b w:val="0"/>
                <w:bCs w:val="0"/>
                <w:color w:val="000000"/>
                <w:kern w:val="0"/>
                <w:sz w:val="24"/>
                <w:szCs w:val="24"/>
                <w:vertAlign w:val="baseline"/>
                <w:lang w:val="en-US" w:eastAsia="zh-CN"/>
              </w:rPr>
              <w:t>乙方</w:t>
            </w:r>
          </w:p>
        </w:tc>
        <w:tc>
          <w:tcPr>
            <w:tcW w:w="4923" w:type="dxa"/>
            <w:vAlign w:val="center"/>
          </w:tcPr>
          <w:p>
            <w:pPr>
              <w:keepNext w:val="0"/>
              <w:keepLines w:val="0"/>
              <w:pageBreakBefore w:val="0"/>
              <w:widowControl w:val="0"/>
              <w:tabs>
                <w:tab w:val="left" w:pos="5685"/>
              </w:tabs>
              <w:kinsoku/>
              <w:wordWrap/>
              <w:overflowPunct/>
              <w:topLinePunct w:val="0"/>
              <w:autoSpaceDE/>
              <w:autoSpaceDN/>
              <w:bidi w:val="0"/>
              <w:adjustRightInd/>
              <w:snapToGrid/>
              <w:spacing w:line="360" w:lineRule="auto"/>
              <w:jc w:val="center"/>
              <w:textAlignment w:val="auto"/>
              <w:rPr>
                <w:rFonts w:hint="default" w:ascii="宋体" w:cs="宋体"/>
                <w:b w:val="0"/>
                <w:bCs w:val="0"/>
                <w:color w:val="000000"/>
                <w:kern w:val="0"/>
                <w:sz w:val="24"/>
                <w:szCs w:val="24"/>
                <w:vertAlign w:val="baseline"/>
                <w:lang w:val="en-US" w:eastAsia="zh-CN"/>
              </w:rPr>
            </w:pPr>
            <w:r>
              <w:rPr>
                <w:rFonts w:hint="eastAsia" w:ascii="宋体" w:cs="宋体"/>
                <w:b w:val="0"/>
                <w:bCs w:val="0"/>
                <w:color w:val="000000"/>
                <w:kern w:val="0"/>
                <w:sz w:val="24"/>
                <w:szCs w:val="24"/>
                <w:vertAlign w:val="baseline"/>
                <w:lang w:val="en-US" w:eastAsia="zh-CN"/>
              </w:rPr>
              <w:t>甲方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jc w:val="center"/>
        </w:trPr>
        <w:tc>
          <w:tcPr>
            <w:tcW w:w="4745" w:type="dxa"/>
          </w:tcPr>
          <w:p>
            <w:pPr>
              <w:keepNext w:val="0"/>
              <w:keepLines w:val="0"/>
              <w:pageBreakBefore w:val="0"/>
              <w:widowControl w:val="0"/>
              <w:tabs>
                <w:tab w:val="left" w:pos="5685"/>
              </w:tabs>
              <w:kinsoku/>
              <w:wordWrap/>
              <w:overflowPunct/>
              <w:topLinePunct w:val="0"/>
              <w:autoSpaceDE/>
              <w:autoSpaceDN/>
              <w:bidi w:val="0"/>
              <w:adjustRightInd/>
              <w:snapToGrid/>
              <w:spacing w:line="360" w:lineRule="auto"/>
              <w:jc w:val="left"/>
              <w:textAlignment w:val="auto"/>
              <w:rPr>
                <w:rFonts w:hint="default" w:ascii="宋体" w:cs="宋体"/>
                <w:b w:val="0"/>
                <w:bCs w:val="0"/>
                <w:color w:val="000000"/>
                <w:kern w:val="0"/>
                <w:sz w:val="24"/>
                <w:szCs w:val="24"/>
                <w:vertAlign w:val="baseline"/>
                <w:lang w:val="en-US" w:eastAsia="zh-CN"/>
              </w:rPr>
            </w:pPr>
            <w:r>
              <w:rPr>
                <w:rFonts w:hint="eastAsia" w:ascii="宋体" w:cs="宋体"/>
                <w:b w:val="0"/>
                <w:bCs w:val="0"/>
                <w:color w:val="000000"/>
                <w:kern w:val="0"/>
                <w:sz w:val="24"/>
                <w:szCs w:val="24"/>
                <w:vertAlign w:val="baseline"/>
                <w:lang w:val="en-US" w:eastAsia="zh-CN"/>
              </w:rPr>
              <w:t>单位名称（章）：</w:t>
            </w:r>
          </w:p>
        </w:tc>
        <w:tc>
          <w:tcPr>
            <w:tcW w:w="4923" w:type="dxa"/>
          </w:tcPr>
          <w:p>
            <w:pPr>
              <w:keepNext w:val="0"/>
              <w:keepLines w:val="0"/>
              <w:pageBreakBefore w:val="0"/>
              <w:widowControl w:val="0"/>
              <w:tabs>
                <w:tab w:val="left" w:pos="5685"/>
              </w:tabs>
              <w:kinsoku/>
              <w:wordWrap/>
              <w:overflowPunct/>
              <w:topLinePunct w:val="0"/>
              <w:autoSpaceDE/>
              <w:autoSpaceDN/>
              <w:bidi w:val="0"/>
              <w:adjustRightInd/>
              <w:snapToGrid/>
              <w:spacing w:line="360" w:lineRule="auto"/>
              <w:jc w:val="left"/>
              <w:textAlignment w:val="auto"/>
              <w:rPr>
                <w:rFonts w:hint="eastAsia" w:ascii="宋体" w:cs="宋体"/>
                <w:b w:val="0"/>
                <w:bCs w:val="0"/>
                <w:color w:val="000000"/>
                <w:kern w:val="0"/>
                <w:sz w:val="24"/>
                <w:szCs w:val="24"/>
                <w:vertAlign w:val="baseline"/>
                <w:lang w:val="en-US" w:eastAsia="zh-CN"/>
              </w:rPr>
            </w:pPr>
            <w:r>
              <w:rPr>
                <w:rFonts w:hint="eastAsia" w:ascii="宋体" w:cs="宋体"/>
                <w:b w:val="0"/>
                <w:bCs w:val="0"/>
                <w:color w:val="000000"/>
                <w:kern w:val="0"/>
                <w:sz w:val="24"/>
                <w:szCs w:val="24"/>
                <w:vertAlign w:val="baseline"/>
                <w:lang w:val="en-US" w:eastAsia="zh-CN"/>
              </w:rPr>
              <w:t>单位名称（章）：</w:t>
            </w:r>
          </w:p>
          <w:p>
            <w:pPr>
              <w:keepNext w:val="0"/>
              <w:keepLines w:val="0"/>
              <w:pageBreakBefore w:val="0"/>
              <w:widowControl w:val="0"/>
              <w:tabs>
                <w:tab w:val="left" w:pos="5685"/>
              </w:tabs>
              <w:kinsoku/>
              <w:wordWrap/>
              <w:overflowPunct/>
              <w:topLinePunct w:val="0"/>
              <w:autoSpaceDE/>
              <w:autoSpaceDN/>
              <w:bidi w:val="0"/>
              <w:adjustRightInd/>
              <w:snapToGrid/>
              <w:spacing w:line="360" w:lineRule="auto"/>
              <w:jc w:val="left"/>
              <w:textAlignment w:val="auto"/>
              <w:rPr>
                <w:rFonts w:hint="default" w:ascii="宋体" w:cs="宋体"/>
                <w:b w:val="0"/>
                <w:bCs w:val="0"/>
                <w:color w:val="000000"/>
                <w:kern w:val="0"/>
                <w:sz w:val="24"/>
                <w:szCs w:val="24"/>
                <w:vertAlign w:val="baseline"/>
                <w:lang w:val="en-US" w:eastAsia="zh-CN"/>
              </w:rPr>
            </w:pPr>
            <w:r>
              <w:rPr>
                <w:rFonts w:hint="eastAsia" w:ascii="宋体" w:cs="宋体"/>
                <w:b w:val="0"/>
                <w:bCs w:val="0"/>
                <w:color w:val="000000"/>
                <w:kern w:val="0"/>
                <w:sz w:val="24"/>
                <w:szCs w:val="24"/>
                <w:vertAlign w:val="baseline"/>
                <w:lang w:val="en-US" w:eastAsia="zh-CN"/>
              </w:rPr>
              <w:t>甘肃</w:t>
            </w:r>
            <w:r>
              <w:rPr>
                <w:rFonts w:hint="default" w:ascii="宋体" w:cs="宋体"/>
                <w:b w:val="0"/>
                <w:bCs w:val="0"/>
                <w:color w:val="000000"/>
                <w:kern w:val="0"/>
                <w:sz w:val="24"/>
                <w:szCs w:val="24"/>
                <w:vertAlign w:val="baseline"/>
                <w:lang w:eastAsia="zh-CN"/>
              </w:rPr>
              <w:t>东兴嘉宇新材料</w:t>
            </w:r>
            <w:r>
              <w:rPr>
                <w:rFonts w:hint="eastAsia" w:ascii="宋体" w:cs="宋体"/>
                <w:b w:val="0"/>
                <w:bCs w:val="0"/>
                <w:color w:val="000000"/>
                <w:kern w:val="0"/>
                <w:sz w:val="24"/>
                <w:szCs w:val="24"/>
                <w:vertAlign w:val="baseline"/>
                <w:lang w:val="en-US" w:eastAsia="zh-CN"/>
              </w:rPr>
              <w:t>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jc w:val="center"/>
        </w:trPr>
        <w:tc>
          <w:tcPr>
            <w:tcW w:w="4745" w:type="dxa"/>
          </w:tcPr>
          <w:p>
            <w:pPr>
              <w:keepNext w:val="0"/>
              <w:keepLines w:val="0"/>
              <w:pageBreakBefore w:val="0"/>
              <w:widowControl w:val="0"/>
              <w:tabs>
                <w:tab w:val="left" w:pos="5685"/>
              </w:tabs>
              <w:kinsoku/>
              <w:wordWrap/>
              <w:overflowPunct/>
              <w:topLinePunct w:val="0"/>
              <w:autoSpaceDE/>
              <w:autoSpaceDN/>
              <w:bidi w:val="0"/>
              <w:adjustRightInd/>
              <w:snapToGrid/>
              <w:spacing w:line="360" w:lineRule="auto"/>
              <w:jc w:val="left"/>
              <w:textAlignment w:val="auto"/>
              <w:rPr>
                <w:rFonts w:hint="default" w:ascii="宋体" w:cs="宋体"/>
                <w:b w:val="0"/>
                <w:bCs w:val="0"/>
                <w:color w:val="000000"/>
                <w:kern w:val="0"/>
                <w:sz w:val="24"/>
                <w:szCs w:val="24"/>
                <w:vertAlign w:val="baseline"/>
                <w:lang w:val="en-US" w:eastAsia="zh-CN"/>
              </w:rPr>
            </w:pPr>
            <w:r>
              <w:rPr>
                <w:rFonts w:hint="eastAsia" w:ascii="宋体" w:cs="宋体"/>
                <w:b w:val="0"/>
                <w:bCs w:val="0"/>
                <w:color w:val="000000"/>
                <w:kern w:val="0"/>
                <w:sz w:val="24"/>
                <w:szCs w:val="24"/>
                <w:vertAlign w:val="baseline"/>
                <w:lang w:val="en-US" w:eastAsia="zh-CN"/>
              </w:rPr>
              <w:t>单位主要负责人：</w:t>
            </w:r>
          </w:p>
        </w:tc>
        <w:tc>
          <w:tcPr>
            <w:tcW w:w="4923" w:type="dxa"/>
            <w:vAlign w:val="top"/>
          </w:tcPr>
          <w:p>
            <w:pPr>
              <w:keepNext w:val="0"/>
              <w:keepLines w:val="0"/>
              <w:pageBreakBefore w:val="0"/>
              <w:widowControl w:val="0"/>
              <w:tabs>
                <w:tab w:val="left" w:pos="5685"/>
              </w:tabs>
              <w:kinsoku/>
              <w:wordWrap/>
              <w:overflowPunct/>
              <w:topLinePunct w:val="0"/>
              <w:autoSpaceDE/>
              <w:autoSpaceDN/>
              <w:bidi w:val="0"/>
              <w:adjustRightInd/>
              <w:snapToGrid/>
              <w:spacing w:line="360" w:lineRule="auto"/>
              <w:jc w:val="left"/>
              <w:textAlignment w:val="auto"/>
              <w:rPr>
                <w:rFonts w:hint="default" w:ascii="宋体" w:cs="宋体"/>
                <w:b w:val="0"/>
                <w:bCs w:val="0"/>
                <w:color w:val="000000"/>
                <w:kern w:val="0"/>
                <w:sz w:val="24"/>
                <w:szCs w:val="24"/>
                <w:vertAlign w:val="baseline"/>
                <w:lang w:val="en-US" w:eastAsia="zh-CN"/>
              </w:rPr>
            </w:pPr>
            <w:r>
              <w:rPr>
                <w:rFonts w:hint="eastAsia" w:ascii="宋体" w:cs="宋体"/>
                <w:b w:val="0"/>
                <w:bCs w:val="0"/>
                <w:color w:val="000000"/>
                <w:kern w:val="0"/>
                <w:sz w:val="24"/>
                <w:szCs w:val="24"/>
                <w:vertAlign w:val="baseline"/>
                <w:lang w:val="en-US" w:eastAsia="zh-CN"/>
              </w:rPr>
              <w:t>单位</w:t>
            </w:r>
            <w:r>
              <w:rPr>
                <w:rFonts w:hint="default" w:ascii="宋体" w:cs="宋体"/>
                <w:b w:val="0"/>
                <w:bCs w:val="0"/>
                <w:color w:val="000000"/>
                <w:kern w:val="0"/>
                <w:sz w:val="24"/>
                <w:szCs w:val="24"/>
                <w:vertAlign w:val="baseline"/>
                <w:lang w:eastAsia="zh-CN"/>
              </w:rPr>
              <w:t>技术</w:t>
            </w:r>
            <w:r>
              <w:rPr>
                <w:rFonts w:hint="eastAsia" w:ascii="宋体" w:cs="宋体"/>
                <w:b w:val="0"/>
                <w:bCs w:val="0"/>
                <w:color w:val="000000"/>
                <w:kern w:val="0"/>
                <w:sz w:val="24"/>
                <w:szCs w:val="24"/>
                <w:vertAlign w:val="baseline"/>
                <w:lang w:val="en-US" w:eastAsia="zh-CN"/>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745" w:type="dxa"/>
            <w:vAlign w:val="center"/>
          </w:tcPr>
          <w:p>
            <w:pPr>
              <w:keepNext w:val="0"/>
              <w:keepLines w:val="0"/>
              <w:pageBreakBefore w:val="0"/>
              <w:widowControl w:val="0"/>
              <w:tabs>
                <w:tab w:val="left" w:pos="5685"/>
              </w:tabs>
              <w:kinsoku/>
              <w:wordWrap/>
              <w:overflowPunct/>
              <w:topLinePunct w:val="0"/>
              <w:autoSpaceDE/>
              <w:autoSpaceDN/>
              <w:bidi w:val="0"/>
              <w:adjustRightInd/>
              <w:snapToGrid/>
              <w:spacing w:line="360" w:lineRule="auto"/>
              <w:jc w:val="both"/>
              <w:textAlignment w:val="auto"/>
              <w:rPr>
                <w:rFonts w:hint="default" w:ascii="宋体" w:cs="宋体"/>
                <w:b w:val="0"/>
                <w:bCs w:val="0"/>
                <w:color w:val="000000"/>
                <w:kern w:val="0"/>
                <w:sz w:val="24"/>
                <w:szCs w:val="24"/>
                <w:vertAlign w:val="baseline"/>
                <w:lang w:val="en-US" w:eastAsia="zh-CN"/>
              </w:rPr>
            </w:pPr>
            <w:r>
              <w:rPr>
                <w:rFonts w:hint="eastAsia" w:ascii="宋体" w:cs="宋体"/>
                <w:b w:val="0"/>
                <w:bCs w:val="0"/>
                <w:color w:val="000000"/>
                <w:kern w:val="0"/>
                <w:sz w:val="24"/>
                <w:szCs w:val="24"/>
                <w:vertAlign w:val="baseline"/>
                <w:lang w:val="en-US" w:eastAsia="zh-CN"/>
              </w:rPr>
              <w:t>联系电话：</w:t>
            </w:r>
          </w:p>
        </w:tc>
        <w:tc>
          <w:tcPr>
            <w:tcW w:w="4923" w:type="dxa"/>
            <w:vAlign w:val="center"/>
          </w:tcPr>
          <w:p>
            <w:pPr>
              <w:keepNext w:val="0"/>
              <w:keepLines w:val="0"/>
              <w:pageBreakBefore w:val="0"/>
              <w:widowControl w:val="0"/>
              <w:tabs>
                <w:tab w:val="left" w:pos="5685"/>
              </w:tabs>
              <w:kinsoku/>
              <w:wordWrap/>
              <w:overflowPunct/>
              <w:topLinePunct w:val="0"/>
              <w:autoSpaceDE/>
              <w:autoSpaceDN/>
              <w:bidi w:val="0"/>
              <w:adjustRightInd/>
              <w:snapToGrid/>
              <w:spacing w:line="360" w:lineRule="auto"/>
              <w:jc w:val="both"/>
              <w:textAlignment w:val="auto"/>
              <w:rPr>
                <w:rFonts w:hint="default" w:ascii="宋体" w:cs="宋体"/>
                <w:b w:val="0"/>
                <w:bCs w:val="0"/>
                <w:color w:val="000000"/>
                <w:kern w:val="0"/>
                <w:sz w:val="24"/>
                <w:szCs w:val="24"/>
                <w:vertAlign w:val="baseline"/>
                <w:lang w:val="en-US" w:eastAsia="zh-CN"/>
              </w:rPr>
            </w:pPr>
            <w:r>
              <w:rPr>
                <w:rFonts w:hint="eastAsia" w:ascii="宋体" w:cs="宋体"/>
                <w:b w:val="0"/>
                <w:bCs w:val="0"/>
                <w:color w:val="000000"/>
                <w:kern w:val="0"/>
                <w:sz w:val="24"/>
                <w:szCs w:val="24"/>
                <w:vertAlign w:val="baseline"/>
                <w:lang w:val="en-US" w:eastAsia="zh-CN"/>
              </w:rPr>
              <w:t>联系电话：0937-67122080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9" w:hRule="atLeast"/>
          <w:jc w:val="center"/>
        </w:trPr>
        <w:tc>
          <w:tcPr>
            <w:tcW w:w="4745" w:type="dxa"/>
            <w:vAlign w:val="center"/>
          </w:tcPr>
          <w:p>
            <w:pPr>
              <w:keepNext w:val="0"/>
              <w:keepLines w:val="0"/>
              <w:pageBreakBefore w:val="0"/>
              <w:widowControl w:val="0"/>
              <w:tabs>
                <w:tab w:val="left" w:pos="5685"/>
              </w:tabs>
              <w:kinsoku/>
              <w:wordWrap/>
              <w:overflowPunct/>
              <w:topLinePunct w:val="0"/>
              <w:autoSpaceDE/>
              <w:autoSpaceDN/>
              <w:bidi w:val="0"/>
              <w:adjustRightInd/>
              <w:snapToGrid/>
              <w:spacing w:line="360" w:lineRule="auto"/>
              <w:jc w:val="both"/>
              <w:textAlignment w:val="auto"/>
              <w:rPr>
                <w:rFonts w:hint="default" w:ascii="宋体" w:cs="宋体"/>
                <w:b w:val="0"/>
                <w:bCs w:val="0"/>
                <w:color w:val="000000"/>
                <w:kern w:val="0"/>
                <w:sz w:val="24"/>
                <w:szCs w:val="24"/>
                <w:vertAlign w:val="baseline"/>
                <w:lang w:val="en-US" w:eastAsia="zh-CN"/>
              </w:rPr>
            </w:pPr>
            <w:r>
              <w:rPr>
                <w:rFonts w:hint="eastAsia" w:ascii="宋体" w:cs="宋体"/>
                <w:b w:val="0"/>
                <w:bCs w:val="0"/>
                <w:color w:val="000000"/>
                <w:kern w:val="0"/>
                <w:sz w:val="24"/>
                <w:szCs w:val="24"/>
                <w:vertAlign w:val="baseline"/>
                <w:lang w:val="en-US" w:eastAsia="zh-CN"/>
              </w:rPr>
              <w:t>日期：        年          月        日</w:t>
            </w:r>
          </w:p>
        </w:tc>
        <w:tc>
          <w:tcPr>
            <w:tcW w:w="4923" w:type="dxa"/>
            <w:vAlign w:val="center"/>
          </w:tcPr>
          <w:p>
            <w:pPr>
              <w:keepNext w:val="0"/>
              <w:keepLines w:val="0"/>
              <w:pageBreakBefore w:val="0"/>
              <w:widowControl w:val="0"/>
              <w:tabs>
                <w:tab w:val="left" w:pos="5685"/>
              </w:tabs>
              <w:kinsoku/>
              <w:wordWrap/>
              <w:overflowPunct/>
              <w:topLinePunct w:val="0"/>
              <w:autoSpaceDE/>
              <w:autoSpaceDN/>
              <w:bidi w:val="0"/>
              <w:adjustRightInd/>
              <w:snapToGrid/>
              <w:spacing w:line="360" w:lineRule="auto"/>
              <w:jc w:val="both"/>
              <w:textAlignment w:val="auto"/>
              <w:rPr>
                <w:rFonts w:hint="default" w:ascii="宋体" w:cs="宋体"/>
                <w:b w:val="0"/>
                <w:bCs w:val="0"/>
                <w:color w:val="000000"/>
                <w:kern w:val="0"/>
                <w:sz w:val="24"/>
                <w:szCs w:val="24"/>
                <w:vertAlign w:val="baseline"/>
                <w:lang w:val="en-US" w:eastAsia="zh-CN"/>
              </w:rPr>
            </w:pPr>
            <w:r>
              <w:rPr>
                <w:rFonts w:hint="eastAsia" w:ascii="宋体" w:cs="宋体"/>
                <w:b w:val="0"/>
                <w:bCs w:val="0"/>
                <w:color w:val="000000"/>
                <w:kern w:val="0"/>
                <w:sz w:val="24"/>
                <w:szCs w:val="24"/>
                <w:vertAlign w:val="baseline"/>
                <w:lang w:val="en-US" w:eastAsia="zh-CN"/>
              </w:rPr>
              <w:t>日期：          年          月        日</w:t>
            </w:r>
          </w:p>
        </w:tc>
      </w:tr>
    </w:tbl>
    <w:p>
      <w:pPr>
        <w:ind w:left="0" w:leftChars="0" w:firstLine="501" w:firstLineChars="209"/>
        <w:rPr>
          <w:rFonts w:hint="eastAsia"/>
          <w:sz w:val="24"/>
          <w:szCs w:val="24"/>
        </w:rPr>
      </w:pPr>
    </w:p>
    <w:p>
      <w:pPr>
        <w:ind w:firstLine="435"/>
        <w:rPr>
          <w:rFonts w:hint="eastAsia" w:ascii="宋体" w:hAnsi="宋体"/>
          <w:color w:val="000000"/>
          <w:sz w:val="24"/>
          <w:szCs w:val="24"/>
        </w:rPr>
      </w:pPr>
    </w:p>
    <w:p>
      <w:pPr>
        <w:ind w:firstLine="480" w:firstLineChars="200"/>
        <w:rPr>
          <w:rFonts w:hint="default" w:ascii="黑体" w:hAnsi="宋体" w:eastAsia="黑体"/>
          <w:b/>
          <w:bCs/>
          <w:color w:val="000000"/>
          <w:sz w:val="24"/>
          <w:szCs w:val="24"/>
          <w:lang w:val="en-US" w:eastAsia="zh-CN"/>
        </w:rPr>
      </w:pPr>
    </w:p>
    <w:sectPr>
      <w:headerReference r:id="rId4" w:type="first"/>
      <w:footerReference r:id="rId6" w:type="first"/>
      <w:headerReference r:id="rId3" w:type="default"/>
      <w:footerReference r:id="rId5" w:type="default"/>
      <w:pgSz w:w="11906" w:h="16838"/>
      <w:pgMar w:top="1134" w:right="1417" w:bottom="1134" w:left="1417" w:header="851" w:footer="992" w:gutter="0"/>
      <w:pgNumType w:fmt="decimal"/>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CzSVjuCgEAAAUBAAAPAAAAAAAAAAEAIAAAACIAAABkcnMvZG93bnJldi54bWxQSwECFAAU&#10;AAAACACHTuJAa4X5+zECAABhBAAADgAAAAAAAAABACAAAABZAQAAZHJzL2Uyb0RvYy54bWxQSwUG&#10;AAAAAAYABgBZAQAA/AU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CzSVjuCgEAAAUBAAAPAAAAAAAAAAEAIAAAACIAAABkcnMvZG93bnJldi54bWxQSwECFAAU&#10;AAAACACHTuJAJIJGtDECAABhBAAADgAAAAAAAAABACAAAABZAQAAZHJzL2Uyb0RvYy54bWxQSwUG&#10;AAAAAAYABgBZAQAA/AU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tabs>
        <w:tab w:val="left" w:pos="5839"/>
      </w:tabs>
      <w:jc w:val="left"/>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4YjU2YmJlMDI1MTQ4MGJmYzEyNmYwMTZlYWEzOTQifQ=="/>
  </w:docVars>
  <w:rsids>
    <w:rsidRoot w:val="005D6DF5"/>
    <w:rsid w:val="00502F53"/>
    <w:rsid w:val="005D6DF5"/>
    <w:rsid w:val="03F10DEC"/>
    <w:rsid w:val="048C0F71"/>
    <w:rsid w:val="05571EA5"/>
    <w:rsid w:val="06A72A6D"/>
    <w:rsid w:val="06E6578F"/>
    <w:rsid w:val="077D0A21"/>
    <w:rsid w:val="0955627D"/>
    <w:rsid w:val="0D132129"/>
    <w:rsid w:val="0D292BEC"/>
    <w:rsid w:val="0F2D6830"/>
    <w:rsid w:val="0F393F10"/>
    <w:rsid w:val="13A86FE2"/>
    <w:rsid w:val="174213DC"/>
    <w:rsid w:val="17F52110"/>
    <w:rsid w:val="1A112392"/>
    <w:rsid w:val="1E3A52C2"/>
    <w:rsid w:val="1FC669B5"/>
    <w:rsid w:val="216F69C6"/>
    <w:rsid w:val="220C16EA"/>
    <w:rsid w:val="22DC1C7F"/>
    <w:rsid w:val="2516241A"/>
    <w:rsid w:val="269F566F"/>
    <w:rsid w:val="2CE054BB"/>
    <w:rsid w:val="2D8A0FC7"/>
    <w:rsid w:val="2E72443B"/>
    <w:rsid w:val="2F524E91"/>
    <w:rsid w:val="30B87438"/>
    <w:rsid w:val="3535243A"/>
    <w:rsid w:val="368B35D8"/>
    <w:rsid w:val="36AF35F4"/>
    <w:rsid w:val="376E276A"/>
    <w:rsid w:val="37FA32CC"/>
    <w:rsid w:val="3A203F82"/>
    <w:rsid w:val="3BD56F8F"/>
    <w:rsid w:val="3D466928"/>
    <w:rsid w:val="3E3C5988"/>
    <w:rsid w:val="3F6D4FF6"/>
    <w:rsid w:val="45DA4FBF"/>
    <w:rsid w:val="4B84404E"/>
    <w:rsid w:val="4DCA4E62"/>
    <w:rsid w:val="4F630375"/>
    <w:rsid w:val="4F9A76F1"/>
    <w:rsid w:val="551235CA"/>
    <w:rsid w:val="5CA647D1"/>
    <w:rsid w:val="5E7F05D2"/>
    <w:rsid w:val="5EE45BB0"/>
    <w:rsid w:val="602473D3"/>
    <w:rsid w:val="61456E8A"/>
    <w:rsid w:val="63C02708"/>
    <w:rsid w:val="63EA489D"/>
    <w:rsid w:val="64C601E9"/>
    <w:rsid w:val="65BF19FA"/>
    <w:rsid w:val="67693E83"/>
    <w:rsid w:val="689F3BC5"/>
    <w:rsid w:val="68DF43B9"/>
    <w:rsid w:val="6B8E7D20"/>
    <w:rsid w:val="6C2E3FA5"/>
    <w:rsid w:val="6FCC04E1"/>
    <w:rsid w:val="76D31BD0"/>
    <w:rsid w:val="7B8C1A6A"/>
    <w:rsid w:val="7BEFEF6F"/>
    <w:rsid w:val="7EE81503"/>
    <w:rsid w:val="7F6C34C4"/>
    <w:rsid w:val="7FE68994"/>
    <w:rsid w:val="B2EFD592"/>
    <w:rsid w:val="BDEF21D5"/>
    <w:rsid w:val="CBBA8CD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4DDF42-657D-4A8C-A8A6-20C218346BD5}">
  <ds:schemaRefs/>
</ds:datastoreItem>
</file>

<file path=docProps/app.xml><?xml version="1.0" encoding="utf-8"?>
<Properties xmlns="http://schemas.openxmlformats.org/officeDocument/2006/extended-properties" xmlns:vt="http://schemas.openxmlformats.org/officeDocument/2006/docPropsVTypes">
  <Company>Microsoft</Company>
  <Pages>3</Pages>
  <Words>1620</Words>
  <Characters>2015</Characters>
  <Lines>1</Lines>
  <Paragraphs>1</Paragraphs>
  <TotalTime>10</TotalTime>
  <ScaleCrop>false</ScaleCrop>
  <LinksUpToDate>false</LinksUpToDate>
  <CharactersWithSpaces>2142</CharactersWithSpaces>
  <Application>WPS Office WWO_dingtalk_20240221035043-c523bba0e7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2019-01-28T01:36:00Z</dcterms:created>
  <dc:creator>zhang</dc:creator>
  <cp:lastModifiedBy>王丽花</cp:lastModifiedBy>
  <cp:lastPrinted>2019-12-14T22:43:00Z</cp:lastPrinted>
  <dcterms:modified xsi:type="dcterms:W3CDTF">2024-07-03T14:46:49Z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3F3E2D06DC524D7495F2F50FE03854CC_12</vt:lpwstr>
  </property>
</Properties>
</file>